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4DE0" w14:textId="64150C6A" w:rsidR="00FB6101" w:rsidRPr="00D920D6" w:rsidRDefault="00FB6101" w:rsidP="00FB610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7C4378" w14:textId="24ECDCEC" w:rsidR="00FB6101" w:rsidRPr="007E3492" w:rsidRDefault="00FB6101" w:rsidP="00FB610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E3492">
        <w:rPr>
          <w:rFonts w:asciiTheme="minorHAnsi" w:hAnsiTheme="minorHAnsi" w:cstheme="minorHAnsi"/>
          <w:b/>
          <w:sz w:val="26"/>
          <w:szCs w:val="26"/>
        </w:rPr>
        <w:t>Worcestershire Safeguarding Children Partnership</w:t>
      </w:r>
    </w:p>
    <w:p w14:paraId="2DE40621" w14:textId="1FCBE2E7" w:rsidR="00AC07E0" w:rsidRPr="007E3492" w:rsidRDefault="00AC07E0" w:rsidP="00FB610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B18C16C" w14:textId="77777777" w:rsidR="00AC07E0" w:rsidRPr="007E3492" w:rsidRDefault="00AC07E0" w:rsidP="00FB610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E3492">
        <w:rPr>
          <w:rFonts w:asciiTheme="minorHAnsi" w:hAnsiTheme="minorHAnsi" w:cstheme="minorHAnsi"/>
          <w:b/>
          <w:sz w:val="26"/>
          <w:szCs w:val="26"/>
        </w:rPr>
        <w:t>Learning Briefing</w:t>
      </w:r>
    </w:p>
    <w:p w14:paraId="5C88BEFC" w14:textId="77777777" w:rsidR="00AC07E0" w:rsidRPr="007E3492" w:rsidRDefault="00AC07E0" w:rsidP="00FB610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BCC7342" w14:textId="5772601E" w:rsidR="00AC07E0" w:rsidRPr="007E3492" w:rsidRDefault="007E5D58" w:rsidP="00FB610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E3492">
        <w:rPr>
          <w:rFonts w:asciiTheme="minorHAnsi" w:hAnsiTheme="minorHAnsi" w:cstheme="minorHAnsi"/>
          <w:b/>
          <w:sz w:val="26"/>
          <w:szCs w:val="26"/>
        </w:rPr>
        <w:t>Application of</w:t>
      </w:r>
      <w:r w:rsidR="00AC07E0" w:rsidRPr="007E3492">
        <w:rPr>
          <w:rFonts w:asciiTheme="minorHAnsi" w:hAnsiTheme="minorHAnsi" w:cstheme="minorHAnsi"/>
          <w:b/>
          <w:sz w:val="26"/>
          <w:szCs w:val="26"/>
        </w:rPr>
        <w:t xml:space="preserve"> the </w:t>
      </w:r>
      <w:bookmarkStart w:id="0" w:name="_Hlk77141994"/>
      <w:r w:rsidR="00AC07E0" w:rsidRPr="007E3492">
        <w:rPr>
          <w:rFonts w:asciiTheme="minorHAnsi" w:hAnsiTheme="minorHAnsi" w:cstheme="minorHAnsi"/>
          <w:b/>
          <w:sz w:val="26"/>
          <w:szCs w:val="26"/>
        </w:rPr>
        <w:t>Levels of Need</w:t>
      </w:r>
      <w:bookmarkEnd w:id="0"/>
      <w:r w:rsidRPr="007E3492">
        <w:rPr>
          <w:rFonts w:asciiTheme="minorHAnsi" w:hAnsiTheme="minorHAnsi" w:cstheme="minorHAnsi"/>
          <w:b/>
          <w:sz w:val="26"/>
          <w:szCs w:val="26"/>
        </w:rPr>
        <w:t xml:space="preserve"> by Partners</w:t>
      </w:r>
    </w:p>
    <w:p w14:paraId="5CD4A59E" w14:textId="64E29682" w:rsidR="00AC07E0" w:rsidRDefault="00AC07E0" w:rsidP="00FB610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83DA9A" w14:textId="4DA48046" w:rsidR="002A2FA2" w:rsidRPr="007E3492" w:rsidRDefault="00AC07E0" w:rsidP="0095036F">
      <w:pPr>
        <w:spacing w:line="276" w:lineRule="auto"/>
        <w:jc w:val="both"/>
        <w:rPr>
          <w:rFonts w:asciiTheme="minorHAnsi" w:hAnsiTheme="minorHAnsi" w:cstheme="minorHAnsi"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>This learning briefing has been produced following a multi-agency audit of referrals to the Worcestershire Family Front Door. The aim of the briefing is to help all professionals across the partnership to improve the way they use</w:t>
      </w:r>
      <w:r w:rsidR="00517300" w:rsidRPr="007E3492">
        <w:rPr>
          <w:rFonts w:asciiTheme="minorHAnsi" w:hAnsiTheme="minorHAnsi" w:cstheme="minorHAnsi"/>
          <w:bCs/>
          <w:szCs w:val="23"/>
        </w:rPr>
        <w:t xml:space="preserve"> the</w:t>
      </w:r>
      <w:r w:rsidRPr="007E3492">
        <w:rPr>
          <w:rFonts w:asciiTheme="minorHAnsi" w:hAnsiTheme="minorHAnsi" w:cstheme="minorHAnsi"/>
          <w:bCs/>
          <w:szCs w:val="23"/>
        </w:rPr>
        <w:t xml:space="preserve"> </w:t>
      </w:r>
      <w:r w:rsidRPr="007E3492">
        <w:rPr>
          <w:rFonts w:asciiTheme="minorHAnsi" w:hAnsiTheme="minorHAnsi" w:cstheme="minorHAnsi"/>
          <w:szCs w:val="23"/>
        </w:rPr>
        <w:t>Worcestershire Levels of Need Guidance document to decide whether a referral to the Family Front Door is the correct step at that point, or whether the child or young person could be better helped via another route</w:t>
      </w:r>
      <w:r w:rsidR="002A2FA2" w:rsidRPr="007E3492">
        <w:rPr>
          <w:rFonts w:asciiTheme="minorHAnsi" w:hAnsiTheme="minorHAnsi" w:cstheme="minorHAnsi"/>
          <w:szCs w:val="23"/>
        </w:rPr>
        <w:t>.</w:t>
      </w:r>
    </w:p>
    <w:p w14:paraId="01D79A8E" w14:textId="77777777" w:rsidR="002A2FA2" w:rsidRPr="007E3492" w:rsidRDefault="002A2FA2" w:rsidP="0095036F">
      <w:pPr>
        <w:spacing w:line="276" w:lineRule="auto"/>
        <w:jc w:val="both"/>
        <w:rPr>
          <w:rFonts w:asciiTheme="minorHAnsi" w:hAnsiTheme="minorHAnsi" w:cstheme="minorHAnsi"/>
          <w:szCs w:val="23"/>
        </w:rPr>
      </w:pPr>
    </w:p>
    <w:p w14:paraId="14673DCC" w14:textId="170EFD51" w:rsidR="002A2FA2" w:rsidRPr="007E3492" w:rsidRDefault="002A2FA2" w:rsidP="0095036F">
      <w:p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szCs w:val="23"/>
        </w:rPr>
        <w:t xml:space="preserve">The </w:t>
      </w:r>
      <w:r w:rsidRPr="007E3492">
        <w:rPr>
          <w:rFonts w:asciiTheme="minorHAnsi" w:hAnsiTheme="minorHAnsi" w:cstheme="minorHAnsi"/>
          <w:bCs/>
          <w:szCs w:val="23"/>
        </w:rPr>
        <w:t>Worcestershire Levels of Need Guidance document can be found using the following link:</w:t>
      </w:r>
    </w:p>
    <w:p w14:paraId="3B1089B6" w14:textId="77777777" w:rsidR="002A2FA2" w:rsidRPr="007E3492" w:rsidRDefault="002A2FA2" w:rsidP="0095036F">
      <w:pPr>
        <w:jc w:val="both"/>
        <w:rPr>
          <w:rFonts w:asciiTheme="minorHAnsi" w:hAnsiTheme="minorHAnsi" w:cstheme="minorHAnsi"/>
          <w:bCs/>
          <w:szCs w:val="23"/>
        </w:rPr>
      </w:pPr>
    </w:p>
    <w:p w14:paraId="63B4D995" w14:textId="25E0C5C9" w:rsidR="00AC07E0" w:rsidRPr="007E3492" w:rsidRDefault="00D942A6" w:rsidP="0095036F">
      <w:pPr>
        <w:jc w:val="both"/>
        <w:rPr>
          <w:rFonts w:asciiTheme="minorHAnsi" w:hAnsiTheme="minorHAnsi" w:cstheme="minorHAnsi"/>
          <w:szCs w:val="23"/>
        </w:rPr>
      </w:pPr>
      <w:hyperlink r:id="rId10" w:history="1">
        <w:r w:rsidR="002A2FA2" w:rsidRPr="007E3492">
          <w:rPr>
            <w:rStyle w:val="Hyperlink"/>
            <w:rFonts w:asciiTheme="minorHAnsi" w:hAnsiTheme="minorHAnsi" w:cstheme="minorHAnsi"/>
            <w:bCs/>
            <w:szCs w:val="23"/>
          </w:rPr>
          <w:t>Levels-of-Need-Document-formerly-Thresholds-document-updated-May-2019-3.pdf (safeguardingworcestershire.org.uk)</w:t>
        </w:r>
      </w:hyperlink>
    </w:p>
    <w:p w14:paraId="603950B2" w14:textId="616C84A5" w:rsidR="00EB14BA" w:rsidRPr="007E3492" w:rsidRDefault="00EB14BA" w:rsidP="0095036F">
      <w:pPr>
        <w:jc w:val="both"/>
        <w:rPr>
          <w:rFonts w:asciiTheme="minorHAnsi" w:hAnsiTheme="minorHAnsi" w:cstheme="minorHAnsi"/>
          <w:bCs/>
          <w:szCs w:val="23"/>
        </w:rPr>
      </w:pPr>
    </w:p>
    <w:p w14:paraId="1B2998CB" w14:textId="0F640CDE" w:rsidR="007E5D58" w:rsidRPr="007E3492" w:rsidRDefault="007E5D58" w:rsidP="0095036F">
      <w:pPr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 xml:space="preserve">This audit was undertaken by Worcestershire Health </w:t>
      </w:r>
      <w:r w:rsidR="00540334" w:rsidRPr="007E3492">
        <w:rPr>
          <w:rFonts w:asciiTheme="minorHAnsi" w:hAnsiTheme="minorHAnsi" w:cstheme="minorHAnsi"/>
          <w:bCs/>
          <w:szCs w:val="23"/>
        </w:rPr>
        <w:t>and</w:t>
      </w:r>
      <w:r w:rsidRPr="007E3492">
        <w:rPr>
          <w:rFonts w:asciiTheme="minorHAnsi" w:hAnsiTheme="minorHAnsi" w:cstheme="minorHAnsi"/>
          <w:bCs/>
          <w:szCs w:val="23"/>
        </w:rPr>
        <w:t xml:space="preserve"> Care</w:t>
      </w:r>
      <w:r w:rsidR="00540334" w:rsidRPr="007E3492">
        <w:rPr>
          <w:rFonts w:asciiTheme="minorHAnsi" w:hAnsiTheme="minorHAnsi" w:cstheme="minorHAnsi"/>
          <w:bCs/>
          <w:szCs w:val="23"/>
        </w:rPr>
        <w:t xml:space="preserve"> NHS</w:t>
      </w:r>
      <w:r w:rsidRPr="007E3492">
        <w:rPr>
          <w:rFonts w:asciiTheme="minorHAnsi" w:hAnsiTheme="minorHAnsi" w:cstheme="minorHAnsi"/>
          <w:bCs/>
          <w:szCs w:val="23"/>
        </w:rPr>
        <w:t xml:space="preserve"> Trust, GP Services, Worcestershire Acute </w:t>
      </w:r>
      <w:r w:rsidR="00540334" w:rsidRPr="007E3492">
        <w:rPr>
          <w:rFonts w:asciiTheme="minorHAnsi" w:hAnsiTheme="minorHAnsi" w:cstheme="minorHAnsi"/>
          <w:bCs/>
          <w:szCs w:val="23"/>
        </w:rPr>
        <w:t xml:space="preserve">Hospitals NHS </w:t>
      </w:r>
      <w:r w:rsidRPr="007E3492">
        <w:rPr>
          <w:rFonts w:asciiTheme="minorHAnsi" w:hAnsiTheme="minorHAnsi" w:cstheme="minorHAnsi"/>
          <w:bCs/>
          <w:szCs w:val="23"/>
        </w:rPr>
        <w:t>Trust,</w:t>
      </w:r>
      <w:r w:rsidR="00022B07" w:rsidRPr="007E3492">
        <w:rPr>
          <w:rFonts w:asciiTheme="minorHAnsi" w:hAnsiTheme="minorHAnsi" w:cstheme="minorHAnsi"/>
          <w:bCs/>
          <w:szCs w:val="23"/>
        </w:rPr>
        <w:t xml:space="preserve"> Schools and West Mercia Police; across the audit, </w:t>
      </w:r>
      <w:r w:rsidR="00540334" w:rsidRPr="007E3492">
        <w:rPr>
          <w:rFonts w:asciiTheme="minorHAnsi" w:hAnsiTheme="minorHAnsi" w:cstheme="minorHAnsi"/>
          <w:bCs/>
          <w:szCs w:val="23"/>
        </w:rPr>
        <w:t>twenty</w:t>
      </w:r>
      <w:r w:rsidR="00022B07" w:rsidRPr="007E3492">
        <w:rPr>
          <w:rFonts w:asciiTheme="minorHAnsi" w:hAnsiTheme="minorHAnsi" w:cstheme="minorHAnsi"/>
          <w:bCs/>
          <w:szCs w:val="23"/>
        </w:rPr>
        <w:t xml:space="preserve"> children’s experiences were considered.</w:t>
      </w:r>
    </w:p>
    <w:p w14:paraId="659D6B0D" w14:textId="77777777" w:rsidR="007E5D58" w:rsidRPr="007E3492" w:rsidRDefault="007E5D58" w:rsidP="0095036F">
      <w:pPr>
        <w:jc w:val="both"/>
        <w:rPr>
          <w:rFonts w:asciiTheme="minorHAnsi" w:hAnsiTheme="minorHAnsi" w:cstheme="minorHAnsi"/>
          <w:bCs/>
          <w:szCs w:val="23"/>
        </w:rPr>
      </w:pPr>
    </w:p>
    <w:p w14:paraId="2F3EFE6A" w14:textId="301FF2B8" w:rsidR="00C02307" w:rsidRPr="007E3492" w:rsidRDefault="00C02307" w:rsidP="0095036F">
      <w:p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 xml:space="preserve">The key learning points </w:t>
      </w:r>
      <w:r w:rsidR="00EB14BA" w:rsidRPr="007E3492">
        <w:rPr>
          <w:rFonts w:asciiTheme="minorHAnsi" w:hAnsiTheme="minorHAnsi" w:cstheme="minorHAnsi"/>
          <w:bCs/>
          <w:szCs w:val="23"/>
        </w:rPr>
        <w:t xml:space="preserve">for all professionals </w:t>
      </w:r>
      <w:r w:rsidRPr="007E3492">
        <w:rPr>
          <w:rFonts w:asciiTheme="minorHAnsi" w:hAnsiTheme="minorHAnsi" w:cstheme="minorHAnsi"/>
          <w:bCs/>
          <w:szCs w:val="23"/>
        </w:rPr>
        <w:t xml:space="preserve">can be summarised as </w:t>
      </w:r>
      <w:r w:rsidR="00DD39A0" w:rsidRPr="007E3492">
        <w:rPr>
          <w:rFonts w:asciiTheme="minorHAnsi" w:hAnsiTheme="minorHAnsi" w:cstheme="minorHAnsi"/>
          <w:bCs/>
          <w:szCs w:val="23"/>
        </w:rPr>
        <w:t>follows.</w:t>
      </w:r>
    </w:p>
    <w:p w14:paraId="3E8CB21F" w14:textId="369A1EB0" w:rsidR="00AF6612" w:rsidRPr="007E3492" w:rsidRDefault="00AF6612" w:rsidP="0095036F">
      <w:p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</w:p>
    <w:p w14:paraId="72E8EAD8" w14:textId="4034A9D8" w:rsidR="007E5D58" w:rsidRPr="007E3492" w:rsidRDefault="007E5D58" w:rsidP="0095036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 xml:space="preserve">Application of thresholds and decision making at the Family Front Door is appropriate and proportionate to the identified needs and risks for children. </w:t>
      </w:r>
    </w:p>
    <w:p w14:paraId="3F6486FB" w14:textId="77777777" w:rsidR="007E5D58" w:rsidRPr="007E3492" w:rsidRDefault="007E5D58" w:rsidP="0095036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Cs/>
          <w:szCs w:val="23"/>
        </w:rPr>
      </w:pPr>
    </w:p>
    <w:p w14:paraId="745E8FE4" w14:textId="5EBF7B45" w:rsidR="00C02307" w:rsidRPr="007E3492" w:rsidRDefault="00C02307" w:rsidP="0095036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 xml:space="preserve">Agencies are referring to the Family Front Door when they have a genuine worry </w:t>
      </w:r>
      <w:r w:rsidR="003C18D6" w:rsidRPr="007E3492">
        <w:rPr>
          <w:rFonts w:asciiTheme="minorHAnsi" w:hAnsiTheme="minorHAnsi" w:cstheme="minorHAnsi"/>
          <w:bCs/>
          <w:szCs w:val="23"/>
        </w:rPr>
        <w:t>and</w:t>
      </w:r>
      <w:r w:rsidRPr="007E3492">
        <w:rPr>
          <w:rFonts w:asciiTheme="minorHAnsi" w:hAnsiTheme="minorHAnsi" w:cstheme="minorHAnsi"/>
          <w:bCs/>
          <w:szCs w:val="23"/>
        </w:rPr>
        <w:t xml:space="preserve"> concern for children </w:t>
      </w:r>
      <w:r w:rsidR="003C18D6" w:rsidRPr="007E3492">
        <w:rPr>
          <w:rFonts w:asciiTheme="minorHAnsi" w:hAnsiTheme="minorHAnsi" w:cstheme="minorHAnsi"/>
          <w:bCs/>
          <w:szCs w:val="23"/>
        </w:rPr>
        <w:t>and</w:t>
      </w:r>
      <w:r w:rsidRPr="007E3492">
        <w:rPr>
          <w:rFonts w:asciiTheme="minorHAnsi" w:hAnsiTheme="minorHAnsi" w:cstheme="minorHAnsi"/>
          <w:bCs/>
          <w:szCs w:val="23"/>
        </w:rPr>
        <w:t xml:space="preserve"> young people</w:t>
      </w:r>
      <w:r w:rsidR="00E849CE" w:rsidRPr="007E3492">
        <w:rPr>
          <w:rFonts w:asciiTheme="minorHAnsi" w:hAnsiTheme="minorHAnsi" w:cstheme="minorHAnsi"/>
          <w:bCs/>
          <w:szCs w:val="23"/>
        </w:rPr>
        <w:t>, and when a referral is made, it is generally being made in a timely manner.</w:t>
      </w:r>
    </w:p>
    <w:p w14:paraId="058D8AAC" w14:textId="77777777" w:rsidR="003C18D6" w:rsidRPr="007E3492" w:rsidRDefault="003C18D6" w:rsidP="0095036F">
      <w:pPr>
        <w:spacing w:line="276" w:lineRule="auto"/>
        <w:ind w:left="360"/>
        <w:jc w:val="both"/>
        <w:rPr>
          <w:rFonts w:asciiTheme="minorHAnsi" w:hAnsiTheme="minorHAnsi" w:cstheme="minorHAnsi"/>
          <w:bCs/>
          <w:szCs w:val="23"/>
        </w:rPr>
      </w:pPr>
    </w:p>
    <w:p w14:paraId="6D6B02D5" w14:textId="411DE5F0" w:rsidR="00BB7319" w:rsidRPr="007E3492" w:rsidRDefault="00C02307" w:rsidP="0095036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 xml:space="preserve">There was evidence of professional curiosity to understand worries and concerns for children and asking exploratory questions to families. </w:t>
      </w:r>
    </w:p>
    <w:p w14:paraId="4AC39C69" w14:textId="77777777" w:rsidR="007727FB" w:rsidRPr="007E3492" w:rsidRDefault="007727FB" w:rsidP="0095036F">
      <w:pPr>
        <w:pStyle w:val="ListParagraph"/>
        <w:jc w:val="both"/>
        <w:rPr>
          <w:rFonts w:asciiTheme="minorHAnsi" w:hAnsiTheme="minorHAnsi" w:cstheme="minorHAnsi"/>
          <w:bCs/>
          <w:szCs w:val="23"/>
        </w:rPr>
      </w:pPr>
    </w:p>
    <w:p w14:paraId="0526A97B" w14:textId="192DFC5A" w:rsidR="00486D71" w:rsidRPr="007E3492" w:rsidRDefault="007727FB" w:rsidP="0095036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>There were examples of when referrals should not have been made</w:t>
      </w:r>
      <w:r w:rsidR="00486D71" w:rsidRPr="007E3492">
        <w:rPr>
          <w:rFonts w:asciiTheme="minorHAnsi" w:hAnsiTheme="minorHAnsi" w:cstheme="minorHAnsi"/>
          <w:bCs/>
          <w:szCs w:val="23"/>
        </w:rPr>
        <w:t>. T</w:t>
      </w:r>
      <w:r w:rsidRPr="007E3492">
        <w:rPr>
          <w:rFonts w:asciiTheme="minorHAnsi" w:hAnsiTheme="minorHAnsi" w:cstheme="minorHAnsi"/>
          <w:bCs/>
          <w:szCs w:val="23"/>
        </w:rPr>
        <w:t>hese can</w:t>
      </w:r>
      <w:r w:rsidR="00486D71" w:rsidRPr="007E3492">
        <w:rPr>
          <w:rFonts w:asciiTheme="minorHAnsi" w:hAnsiTheme="minorHAnsi" w:cstheme="minorHAnsi"/>
          <w:bCs/>
          <w:szCs w:val="23"/>
        </w:rPr>
        <w:t xml:space="preserve"> often</w:t>
      </w:r>
      <w:r w:rsidRPr="007E3492">
        <w:rPr>
          <w:rFonts w:asciiTheme="minorHAnsi" w:hAnsiTheme="minorHAnsi" w:cstheme="minorHAnsi"/>
          <w:bCs/>
          <w:szCs w:val="23"/>
        </w:rPr>
        <w:t xml:space="preserve"> </w:t>
      </w:r>
      <w:r w:rsidR="00517300" w:rsidRPr="007E3492">
        <w:rPr>
          <w:rFonts w:asciiTheme="minorHAnsi" w:hAnsiTheme="minorHAnsi" w:cstheme="minorHAnsi"/>
          <w:bCs/>
          <w:szCs w:val="23"/>
        </w:rPr>
        <w:t>be avoided</w:t>
      </w:r>
      <w:r w:rsidRPr="007E3492">
        <w:rPr>
          <w:rFonts w:asciiTheme="minorHAnsi" w:hAnsiTheme="minorHAnsi" w:cstheme="minorHAnsi"/>
          <w:bCs/>
          <w:szCs w:val="23"/>
        </w:rPr>
        <w:t xml:space="preserve"> by </w:t>
      </w:r>
      <w:r w:rsidR="00486D71" w:rsidRPr="007E3492">
        <w:rPr>
          <w:rFonts w:asciiTheme="minorHAnsi" w:hAnsiTheme="minorHAnsi" w:cstheme="minorHAnsi"/>
          <w:bCs/>
          <w:szCs w:val="23"/>
        </w:rPr>
        <w:t xml:space="preserve">professionals </w:t>
      </w:r>
      <w:r w:rsidRPr="007E3492">
        <w:rPr>
          <w:rFonts w:asciiTheme="minorHAnsi" w:hAnsiTheme="minorHAnsi" w:cstheme="minorHAnsi"/>
          <w:bCs/>
          <w:szCs w:val="23"/>
        </w:rPr>
        <w:t>using the Levels of Need</w:t>
      </w:r>
      <w:r w:rsidR="00486D71" w:rsidRPr="007E3492">
        <w:rPr>
          <w:rFonts w:asciiTheme="minorHAnsi" w:hAnsiTheme="minorHAnsi" w:cstheme="minorHAnsi"/>
          <w:bCs/>
          <w:szCs w:val="23"/>
        </w:rPr>
        <w:t xml:space="preserve"> </w:t>
      </w:r>
      <w:r w:rsidRPr="007E3492">
        <w:rPr>
          <w:rFonts w:asciiTheme="minorHAnsi" w:hAnsiTheme="minorHAnsi" w:cstheme="minorHAnsi"/>
          <w:bCs/>
          <w:szCs w:val="23"/>
        </w:rPr>
        <w:t>Guidance</w:t>
      </w:r>
      <w:r w:rsidR="00486D71" w:rsidRPr="007E3492">
        <w:rPr>
          <w:rFonts w:asciiTheme="minorHAnsi" w:hAnsiTheme="minorHAnsi" w:cstheme="minorHAnsi"/>
          <w:bCs/>
          <w:szCs w:val="23"/>
        </w:rPr>
        <w:t xml:space="preserve"> which would direct the referrer </w:t>
      </w:r>
      <w:r w:rsidR="007E5D58" w:rsidRPr="007E3492">
        <w:rPr>
          <w:rFonts w:asciiTheme="minorHAnsi" w:hAnsiTheme="minorHAnsi" w:cstheme="minorHAnsi"/>
          <w:bCs/>
          <w:szCs w:val="23"/>
        </w:rPr>
        <w:t xml:space="preserve">towards the correct </w:t>
      </w:r>
      <w:r w:rsidR="00540334" w:rsidRPr="007E3492">
        <w:rPr>
          <w:rFonts w:asciiTheme="minorHAnsi" w:hAnsiTheme="minorHAnsi" w:cstheme="minorHAnsi"/>
          <w:bCs/>
          <w:szCs w:val="23"/>
        </w:rPr>
        <w:t>response,</w:t>
      </w:r>
      <w:r w:rsidR="007E5D58" w:rsidRPr="007E3492">
        <w:rPr>
          <w:rFonts w:asciiTheme="minorHAnsi" w:hAnsiTheme="minorHAnsi" w:cstheme="minorHAnsi"/>
          <w:bCs/>
          <w:szCs w:val="23"/>
        </w:rPr>
        <w:t xml:space="preserve"> </w:t>
      </w:r>
      <w:r w:rsidR="00540334" w:rsidRPr="007E3492">
        <w:rPr>
          <w:rFonts w:asciiTheme="minorHAnsi" w:hAnsiTheme="minorHAnsi" w:cstheme="minorHAnsi"/>
          <w:bCs/>
          <w:szCs w:val="23"/>
        </w:rPr>
        <w:t>for example provision of Early Help by their own, or another agency</w:t>
      </w:r>
      <w:r w:rsidR="00695871" w:rsidRPr="007E3492">
        <w:rPr>
          <w:rFonts w:asciiTheme="minorHAnsi" w:hAnsiTheme="minorHAnsi" w:cstheme="minorHAnsi"/>
          <w:bCs/>
          <w:szCs w:val="23"/>
        </w:rPr>
        <w:t>.</w:t>
      </w:r>
    </w:p>
    <w:p w14:paraId="63E28C21" w14:textId="77777777" w:rsidR="00486D71" w:rsidRPr="007E3492" w:rsidRDefault="00486D71" w:rsidP="0095036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Cs/>
          <w:szCs w:val="23"/>
        </w:rPr>
      </w:pPr>
    </w:p>
    <w:p w14:paraId="33ECFED6" w14:textId="7657763A" w:rsidR="00C02E12" w:rsidRPr="007E3492" w:rsidRDefault="00C02307" w:rsidP="0095036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>There are examples of referrals being made</w:t>
      </w:r>
      <w:r w:rsidR="006B2C5A" w:rsidRPr="007E3492">
        <w:rPr>
          <w:rFonts w:asciiTheme="minorHAnsi" w:hAnsiTheme="minorHAnsi" w:cstheme="minorHAnsi"/>
          <w:bCs/>
          <w:szCs w:val="23"/>
        </w:rPr>
        <w:t xml:space="preserve"> where speaking to other agencies and the family</w:t>
      </w:r>
      <w:r w:rsidR="00FC093F" w:rsidRPr="007E3492">
        <w:rPr>
          <w:rFonts w:asciiTheme="minorHAnsi" w:hAnsiTheme="minorHAnsi" w:cstheme="minorHAnsi"/>
          <w:bCs/>
          <w:szCs w:val="23"/>
        </w:rPr>
        <w:t>,</w:t>
      </w:r>
      <w:r w:rsidR="006B2C5A" w:rsidRPr="007E3492">
        <w:rPr>
          <w:rFonts w:asciiTheme="minorHAnsi" w:hAnsiTheme="minorHAnsi" w:cstheme="minorHAnsi"/>
          <w:bCs/>
          <w:szCs w:val="23"/>
        </w:rPr>
        <w:t xml:space="preserve"> the</w:t>
      </w:r>
      <w:r w:rsidRPr="007E3492">
        <w:rPr>
          <w:rFonts w:asciiTheme="minorHAnsi" w:hAnsiTheme="minorHAnsi" w:cstheme="minorHAnsi"/>
          <w:bCs/>
          <w:szCs w:val="23"/>
        </w:rPr>
        <w:t xml:space="preserve"> Family Front Door </w:t>
      </w:r>
      <w:r w:rsidR="003C18D6" w:rsidRPr="007E3492">
        <w:rPr>
          <w:rFonts w:asciiTheme="minorHAnsi" w:hAnsiTheme="minorHAnsi" w:cstheme="minorHAnsi"/>
          <w:bCs/>
          <w:szCs w:val="23"/>
        </w:rPr>
        <w:t>identif</w:t>
      </w:r>
      <w:r w:rsidR="00682786" w:rsidRPr="007E3492">
        <w:rPr>
          <w:rFonts w:asciiTheme="minorHAnsi" w:hAnsiTheme="minorHAnsi" w:cstheme="minorHAnsi"/>
          <w:bCs/>
          <w:szCs w:val="23"/>
        </w:rPr>
        <w:t>ied</w:t>
      </w:r>
      <w:r w:rsidRPr="007E3492">
        <w:rPr>
          <w:rFonts w:asciiTheme="minorHAnsi" w:hAnsiTheme="minorHAnsi" w:cstheme="minorHAnsi"/>
          <w:bCs/>
          <w:szCs w:val="23"/>
        </w:rPr>
        <w:t xml:space="preserve"> </w:t>
      </w:r>
      <w:r w:rsidR="003C18D6" w:rsidRPr="007E3492">
        <w:rPr>
          <w:rFonts w:asciiTheme="minorHAnsi" w:hAnsiTheme="minorHAnsi" w:cstheme="minorHAnsi"/>
          <w:bCs/>
          <w:szCs w:val="23"/>
        </w:rPr>
        <w:t>that</w:t>
      </w:r>
      <w:r w:rsidRPr="007E3492">
        <w:rPr>
          <w:rFonts w:asciiTheme="minorHAnsi" w:hAnsiTheme="minorHAnsi" w:cstheme="minorHAnsi"/>
          <w:bCs/>
          <w:szCs w:val="23"/>
        </w:rPr>
        <w:t xml:space="preserve"> a</w:t>
      </w:r>
      <w:r w:rsidR="00FC093F" w:rsidRPr="007E3492">
        <w:rPr>
          <w:rFonts w:asciiTheme="minorHAnsi" w:hAnsiTheme="minorHAnsi" w:cstheme="minorHAnsi"/>
          <w:bCs/>
          <w:szCs w:val="23"/>
        </w:rPr>
        <w:t xml:space="preserve"> referral had not actually been necessary</w:t>
      </w:r>
      <w:r w:rsidRPr="007E3492">
        <w:rPr>
          <w:rFonts w:asciiTheme="minorHAnsi" w:hAnsiTheme="minorHAnsi" w:cstheme="minorHAnsi"/>
          <w:bCs/>
          <w:szCs w:val="23"/>
        </w:rPr>
        <w:t xml:space="preserve">. </w:t>
      </w:r>
      <w:r w:rsidR="00FC093F" w:rsidRPr="007E3492">
        <w:rPr>
          <w:rFonts w:asciiTheme="minorHAnsi" w:hAnsiTheme="minorHAnsi" w:cstheme="minorHAnsi"/>
          <w:bCs/>
          <w:szCs w:val="23"/>
        </w:rPr>
        <w:t xml:space="preserve">Before </w:t>
      </w:r>
      <w:r w:rsidR="00FC093F" w:rsidRPr="007E3492">
        <w:rPr>
          <w:rFonts w:asciiTheme="minorHAnsi" w:hAnsiTheme="minorHAnsi" w:cstheme="minorHAnsi"/>
          <w:bCs/>
          <w:szCs w:val="23"/>
        </w:rPr>
        <w:lastRenderedPageBreak/>
        <w:t>deciding upon a referral, agencies need to consider whether they can</w:t>
      </w:r>
      <w:r w:rsidRPr="007E3492">
        <w:rPr>
          <w:rFonts w:asciiTheme="minorHAnsi" w:hAnsiTheme="minorHAnsi" w:cstheme="minorHAnsi"/>
          <w:bCs/>
          <w:szCs w:val="23"/>
        </w:rPr>
        <w:t xml:space="preserve"> work together at the lowest level to share information, with the consent of the family</w:t>
      </w:r>
      <w:r w:rsidR="001E4A87">
        <w:rPr>
          <w:rFonts w:asciiTheme="minorHAnsi" w:hAnsiTheme="minorHAnsi" w:cstheme="minorHAnsi"/>
          <w:bCs/>
          <w:szCs w:val="23"/>
        </w:rPr>
        <w:t>. This</w:t>
      </w:r>
      <w:r w:rsidR="00F45453" w:rsidRPr="007E3492">
        <w:rPr>
          <w:rFonts w:asciiTheme="minorHAnsi" w:hAnsiTheme="minorHAnsi" w:cstheme="minorHAnsi"/>
          <w:bCs/>
          <w:szCs w:val="23"/>
        </w:rPr>
        <w:t xml:space="preserve"> may ultimately </w:t>
      </w:r>
      <w:r w:rsidR="00D31784" w:rsidRPr="007E3492">
        <w:rPr>
          <w:rFonts w:asciiTheme="minorHAnsi" w:hAnsiTheme="minorHAnsi" w:cstheme="minorHAnsi"/>
          <w:bCs/>
          <w:szCs w:val="23"/>
        </w:rPr>
        <w:t>negate the</w:t>
      </w:r>
      <w:r w:rsidR="00F45453" w:rsidRPr="007E3492">
        <w:rPr>
          <w:rFonts w:asciiTheme="minorHAnsi" w:hAnsiTheme="minorHAnsi" w:cstheme="minorHAnsi"/>
          <w:bCs/>
          <w:szCs w:val="23"/>
        </w:rPr>
        <w:t xml:space="preserve"> need for a </w:t>
      </w:r>
      <w:r w:rsidRPr="007E3492">
        <w:rPr>
          <w:rFonts w:asciiTheme="minorHAnsi" w:hAnsiTheme="minorHAnsi" w:cstheme="minorHAnsi"/>
          <w:bCs/>
          <w:szCs w:val="23"/>
        </w:rPr>
        <w:t>referral</w:t>
      </w:r>
      <w:r w:rsidR="00517300" w:rsidRPr="007E3492">
        <w:rPr>
          <w:rFonts w:asciiTheme="minorHAnsi" w:hAnsiTheme="minorHAnsi" w:cstheme="minorHAnsi"/>
          <w:bCs/>
          <w:szCs w:val="23"/>
        </w:rPr>
        <w:t xml:space="preserve"> when that additional information is considered using the Levels of Need Guidance document.</w:t>
      </w:r>
      <w:r w:rsidR="007E5D58" w:rsidRPr="007E3492">
        <w:rPr>
          <w:rFonts w:asciiTheme="minorHAnsi" w:hAnsiTheme="minorHAnsi" w:cstheme="minorHAnsi"/>
          <w:bCs/>
          <w:szCs w:val="23"/>
        </w:rPr>
        <w:t xml:space="preserve"> This would ensure children get the right help at the right time.</w:t>
      </w:r>
    </w:p>
    <w:p w14:paraId="13BF8BFB" w14:textId="77777777" w:rsidR="002C2683" w:rsidRPr="007E3492" w:rsidRDefault="002C2683" w:rsidP="0095036F">
      <w:pPr>
        <w:pStyle w:val="ListParagraph"/>
        <w:jc w:val="both"/>
        <w:rPr>
          <w:rFonts w:asciiTheme="minorHAnsi" w:hAnsiTheme="minorHAnsi" w:cstheme="minorHAnsi"/>
          <w:bCs/>
          <w:szCs w:val="23"/>
        </w:rPr>
      </w:pPr>
    </w:p>
    <w:p w14:paraId="2EEEA1BD" w14:textId="3DFD02C0" w:rsidR="002C2683" w:rsidRPr="007E3492" w:rsidRDefault="002C2683" w:rsidP="0095036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>On occasions referral was the right decision at the right time</w:t>
      </w:r>
      <w:r w:rsidR="007E5D58" w:rsidRPr="007E3492">
        <w:rPr>
          <w:rFonts w:asciiTheme="minorHAnsi" w:hAnsiTheme="minorHAnsi" w:cstheme="minorHAnsi"/>
          <w:bCs/>
          <w:szCs w:val="23"/>
        </w:rPr>
        <w:t>,</w:t>
      </w:r>
      <w:r w:rsidRPr="007E3492">
        <w:rPr>
          <w:rFonts w:asciiTheme="minorHAnsi" w:hAnsiTheme="minorHAnsi" w:cstheme="minorHAnsi"/>
          <w:bCs/>
          <w:szCs w:val="23"/>
        </w:rPr>
        <w:t xml:space="preserve"> however</w:t>
      </w:r>
      <w:r w:rsidR="007E5D58" w:rsidRPr="007E3492">
        <w:rPr>
          <w:rFonts w:asciiTheme="minorHAnsi" w:hAnsiTheme="minorHAnsi" w:cstheme="minorHAnsi"/>
          <w:bCs/>
          <w:szCs w:val="23"/>
        </w:rPr>
        <w:t>,</w:t>
      </w:r>
      <w:r w:rsidRPr="007E3492">
        <w:rPr>
          <w:rFonts w:asciiTheme="minorHAnsi" w:hAnsiTheme="minorHAnsi" w:cstheme="minorHAnsi"/>
          <w:bCs/>
          <w:szCs w:val="23"/>
        </w:rPr>
        <w:t xml:space="preserve"> it did not sufficiently describe the level of need</w:t>
      </w:r>
      <w:r w:rsidR="007E5D58" w:rsidRPr="007E3492">
        <w:rPr>
          <w:rFonts w:asciiTheme="minorHAnsi" w:hAnsiTheme="minorHAnsi" w:cstheme="minorHAnsi"/>
          <w:bCs/>
          <w:szCs w:val="23"/>
        </w:rPr>
        <w:t xml:space="preserve"> </w:t>
      </w:r>
      <w:r w:rsidR="00540334" w:rsidRPr="007E3492">
        <w:rPr>
          <w:rFonts w:asciiTheme="minorHAnsi" w:hAnsiTheme="minorHAnsi" w:cstheme="minorHAnsi"/>
          <w:bCs/>
          <w:szCs w:val="23"/>
        </w:rPr>
        <w:t>and</w:t>
      </w:r>
      <w:r w:rsidR="007E5D58" w:rsidRPr="007E3492">
        <w:rPr>
          <w:rFonts w:asciiTheme="minorHAnsi" w:hAnsiTheme="minorHAnsi" w:cstheme="minorHAnsi"/>
          <w:bCs/>
          <w:szCs w:val="23"/>
        </w:rPr>
        <w:t xml:space="preserve"> risk</w:t>
      </w:r>
      <w:r w:rsidR="00682786" w:rsidRPr="007E3492">
        <w:rPr>
          <w:rFonts w:asciiTheme="minorHAnsi" w:hAnsiTheme="minorHAnsi" w:cstheme="minorHAnsi"/>
          <w:bCs/>
          <w:szCs w:val="23"/>
        </w:rPr>
        <w:t xml:space="preserve"> </w:t>
      </w:r>
      <w:r w:rsidR="007E5D58" w:rsidRPr="007E3492">
        <w:rPr>
          <w:rFonts w:asciiTheme="minorHAnsi" w:hAnsiTheme="minorHAnsi" w:cstheme="minorHAnsi"/>
          <w:bCs/>
          <w:szCs w:val="23"/>
        </w:rPr>
        <w:t>for</w:t>
      </w:r>
      <w:r w:rsidR="00682786" w:rsidRPr="007E3492">
        <w:rPr>
          <w:rFonts w:asciiTheme="minorHAnsi" w:hAnsiTheme="minorHAnsi" w:cstheme="minorHAnsi"/>
          <w:bCs/>
          <w:szCs w:val="23"/>
        </w:rPr>
        <w:t xml:space="preserve"> that child or young person</w:t>
      </w:r>
      <w:r w:rsidR="007E5D58" w:rsidRPr="007E3492">
        <w:rPr>
          <w:rFonts w:asciiTheme="minorHAnsi" w:hAnsiTheme="minorHAnsi" w:cstheme="minorHAnsi"/>
          <w:bCs/>
          <w:szCs w:val="23"/>
        </w:rPr>
        <w:t xml:space="preserve"> and why a Social Work intervention is required</w:t>
      </w:r>
      <w:r w:rsidR="00682786" w:rsidRPr="007E3492">
        <w:rPr>
          <w:rFonts w:asciiTheme="minorHAnsi" w:hAnsiTheme="minorHAnsi" w:cstheme="minorHAnsi"/>
          <w:bCs/>
          <w:szCs w:val="23"/>
        </w:rPr>
        <w:t>.</w:t>
      </w:r>
      <w:r w:rsidR="00517300" w:rsidRPr="007E3492">
        <w:rPr>
          <w:rFonts w:asciiTheme="minorHAnsi" w:hAnsiTheme="minorHAnsi" w:cstheme="minorHAnsi"/>
          <w:bCs/>
          <w:szCs w:val="23"/>
        </w:rPr>
        <w:t xml:space="preserve"> </w:t>
      </w:r>
      <w:r w:rsidR="00695871" w:rsidRPr="007E3492">
        <w:rPr>
          <w:rFonts w:asciiTheme="minorHAnsi" w:hAnsiTheme="minorHAnsi" w:cstheme="minorHAnsi"/>
          <w:bCs/>
          <w:szCs w:val="23"/>
        </w:rPr>
        <w:t xml:space="preserve">Using the </w:t>
      </w:r>
      <w:r w:rsidR="007E5D58" w:rsidRPr="007E3492">
        <w:rPr>
          <w:rFonts w:asciiTheme="minorHAnsi" w:hAnsiTheme="minorHAnsi" w:cstheme="minorHAnsi"/>
          <w:bCs/>
          <w:szCs w:val="23"/>
        </w:rPr>
        <w:t xml:space="preserve">Levels of Need Guidance will support </w:t>
      </w:r>
      <w:r w:rsidR="00695871" w:rsidRPr="007E3492">
        <w:rPr>
          <w:rFonts w:asciiTheme="minorHAnsi" w:hAnsiTheme="minorHAnsi" w:cstheme="minorHAnsi"/>
          <w:bCs/>
          <w:szCs w:val="23"/>
        </w:rPr>
        <w:t xml:space="preserve">practitioners </w:t>
      </w:r>
      <w:r w:rsidR="007E5D58" w:rsidRPr="007E3492">
        <w:rPr>
          <w:rFonts w:asciiTheme="minorHAnsi" w:hAnsiTheme="minorHAnsi" w:cstheme="minorHAnsi"/>
          <w:bCs/>
          <w:szCs w:val="23"/>
        </w:rPr>
        <w:t>to appropriately identify presenting issues and risks at each level of the continuum of need.</w:t>
      </w:r>
    </w:p>
    <w:p w14:paraId="1211DCDC" w14:textId="77777777" w:rsidR="000D4A4E" w:rsidRPr="007E3492" w:rsidRDefault="000D4A4E" w:rsidP="0095036F">
      <w:pPr>
        <w:spacing w:line="276" w:lineRule="auto"/>
        <w:ind w:left="360"/>
        <w:jc w:val="both"/>
        <w:rPr>
          <w:rFonts w:asciiTheme="minorHAnsi" w:hAnsiTheme="minorHAnsi" w:cstheme="minorHAnsi"/>
          <w:bCs/>
          <w:szCs w:val="23"/>
        </w:rPr>
      </w:pPr>
    </w:p>
    <w:p w14:paraId="2D7D6213" w14:textId="129F49F5" w:rsidR="000911C0" w:rsidRPr="00D942A6" w:rsidRDefault="00C02307" w:rsidP="0095036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D942A6">
        <w:rPr>
          <w:rFonts w:asciiTheme="minorHAnsi" w:hAnsiTheme="minorHAnsi" w:cstheme="minorHAnsi"/>
          <w:bCs/>
          <w:szCs w:val="23"/>
        </w:rPr>
        <w:t>Some of the families were already receiving Early Help Services in the community and as need increased</w:t>
      </w:r>
      <w:r w:rsidR="001E4A87" w:rsidRPr="00D942A6">
        <w:rPr>
          <w:rFonts w:asciiTheme="minorHAnsi" w:hAnsiTheme="minorHAnsi" w:cstheme="minorHAnsi"/>
          <w:bCs/>
          <w:szCs w:val="23"/>
        </w:rPr>
        <w:t xml:space="preserve"> these families were</w:t>
      </w:r>
      <w:r w:rsidRPr="00D942A6">
        <w:rPr>
          <w:rFonts w:asciiTheme="minorHAnsi" w:hAnsiTheme="minorHAnsi" w:cstheme="minorHAnsi"/>
          <w:bCs/>
          <w:szCs w:val="23"/>
        </w:rPr>
        <w:t xml:space="preserve"> referred to the Family Front Door</w:t>
      </w:r>
      <w:r w:rsidR="000911C0" w:rsidRPr="00D942A6">
        <w:rPr>
          <w:rFonts w:asciiTheme="minorHAnsi" w:hAnsiTheme="minorHAnsi" w:cstheme="minorHAnsi"/>
          <w:bCs/>
          <w:szCs w:val="23"/>
        </w:rPr>
        <w:t xml:space="preserve">. </w:t>
      </w:r>
      <w:r w:rsidR="00616D76" w:rsidRPr="00D942A6">
        <w:rPr>
          <w:rFonts w:asciiTheme="minorHAnsi" w:hAnsiTheme="minorHAnsi" w:cstheme="minorHAnsi"/>
          <w:bCs/>
          <w:szCs w:val="23"/>
        </w:rPr>
        <w:t xml:space="preserve">It is important in these circumstances that </w:t>
      </w:r>
      <w:r w:rsidR="007E5D58" w:rsidRPr="00D942A6">
        <w:rPr>
          <w:rFonts w:asciiTheme="minorHAnsi" w:hAnsiTheme="minorHAnsi" w:cstheme="minorHAnsi"/>
          <w:bCs/>
          <w:szCs w:val="23"/>
        </w:rPr>
        <w:t xml:space="preserve">agencies consider </w:t>
      </w:r>
      <w:r w:rsidRPr="00D942A6">
        <w:rPr>
          <w:rFonts w:asciiTheme="minorHAnsi" w:hAnsiTheme="minorHAnsi" w:cstheme="minorHAnsi"/>
          <w:bCs/>
          <w:szCs w:val="23"/>
        </w:rPr>
        <w:t xml:space="preserve">what other actions </w:t>
      </w:r>
      <w:r w:rsidR="00695871" w:rsidRPr="00D942A6">
        <w:rPr>
          <w:rFonts w:asciiTheme="minorHAnsi" w:hAnsiTheme="minorHAnsi" w:cstheme="minorHAnsi"/>
          <w:bCs/>
          <w:szCs w:val="23"/>
        </w:rPr>
        <w:t>they and other partners</w:t>
      </w:r>
      <w:r w:rsidRPr="00D942A6">
        <w:rPr>
          <w:rFonts w:asciiTheme="minorHAnsi" w:hAnsiTheme="minorHAnsi" w:cstheme="minorHAnsi"/>
          <w:bCs/>
          <w:szCs w:val="23"/>
        </w:rPr>
        <w:t xml:space="preserve"> </w:t>
      </w:r>
      <w:r w:rsidR="007E5D58" w:rsidRPr="00D942A6">
        <w:rPr>
          <w:rFonts w:asciiTheme="minorHAnsi" w:hAnsiTheme="minorHAnsi" w:cstheme="minorHAnsi"/>
          <w:bCs/>
          <w:szCs w:val="23"/>
        </w:rPr>
        <w:t>can do</w:t>
      </w:r>
      <w:r w:rsidRPr="00D942A6">
        <w:rPr>
          <w:rFonts w:asciiTheme="minorHAnsi" w:hAnsiTheme="minorHAnsi" w:cstheme="minorHAnsi"/>
          <w:bCs/>
          <w:szCs w:val="23"/>
        </w:rPr>
        <w:t xml:space="preserve"> to support the family </w:t>
      </w:r>
      <w:r w:rsidR="001E4A87" w:rsidRPr="00D942A6">
        <w:rPr>
          <w:rFonts w:asciiTheme="minorHAnsi" w:hAnsiTheme="minorHAnsi" w:cstheme="minorHAnsi"/>
          <w:bCs/>
          <w:szCs w:val="23"/>
        </w:rPr>
        <w:t>to</w:t>
      </w:r>
      <w:r w:rsidRPr="00D942A6">
        <w:rPr>
          <w:rFonts w:asciiTheme="minorHAnsi" w:hAnsiTheme="minorHAnsi" w:cstheme="minorHAnsi"/>
          <w:bCs/>
          <w:szCs w:val="23"/>
        </w:rPr>
        <w:t xml:space="preserve"> increase support, such as Multi-Agency Meetings, Early Help Assessments, bringing in other forms of support or a referral through the Early Help Family Support Service</w:t>
      </w:r>
      <w:r w:rsidR="003F4860" w:rsidRPr="00D942A6">
        <w:rPr>
          <w:rFonts w:asciiTheme="minorHAnsi" w:hAnsiTheme="minorHAnsi" w:cstheme="minorHAnsi"/>
          <w:bCs/>
          <w:szCs w:val="23"/>
        </w:rPr>
        <w:t>, and whether these are improving the outcomes for the child/children.</w:t>
      </w:r>
    </w:p>
    <w:p w14:paraId="0CC2EFFD" w14:textId="77777777" w:rsidR="000911C0" w:rsidRPr="007E3492" w:rsidRDefault="000911C0" w:rsidP="0095036F">
      <w:pPr>
        <w:spacing w:line="276" w:lineRule="auto"/>
        <w:ind w:left="360"/>
        <w:jc w:val="both"/>
        <w:rPr>
          <w:rFonts w:asciiTheme="minorHAnsi" w:hAnsiTheme="minorHAnsi" w:cstheme="minorHAnsi"/>
          <w:bCs/>
          <w:szCs w:val="23"/>
        </w:rPr>
      </w:pPr>
    </w:p>
    <w:p w14:paraId="05D41D61" w14:textId="18BB904C" w:rsidR="00C02307" w:rsidRPr="007E3492" w:rsidRDefault="00C02307" w:rsidP="0095036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>There are referrals being made to the Family Front Door (Children’s Social Work Service) when they should be being referred directly to the Early Help Family Support Service.</w:t>
      </w:r>
      <w:r w:rsidR="00461923" w:rsidRPr="007E3492">
        <w:rPr>
          <w:rFonts w:asciiTheme="minorHAnsi" w:hAnsiTheme="minorHAnsi" w:cstheme="minorHAnsi"/>
          <w:bCs/>
          <w:szCs w:val="23"/>
        </w:rPr>
        <w:t xml:space="preserve"> T</w:t>
      </w:r>
      <w:r w:rsidRPr="007E3492">
        <w:rPr>
          <w:rFonts w:asciiTheme="minorHAnsi" w:hAnsiTheme="minorHAnsi" w:cstheme="minorHAnsi"/>
          <w:bCs/>
          <w:szCs w:val="23"/>
        </w:rPr>
        <w:t>he Family Front Door and Early Help Pathways are clearly outlined within the Levels of Need Guidance and professionals</w:t>
      </w:r>
      <w:r w:rsidR="00461923" w:rsidRPr="007E3492">
        <w:rPr>
          <w:rFonts w:asciiTheme="minorHAnsi" w:hAnsiTheme="minorHAnsi" w:cstheme="minorHAnsi"/>
          <w:bCs/>
          <w:szCs w:val="23"/>
        </w:rPr>
        <w:t xml:space="preserve"> need to check they </w:t>
      </w:r>
      <w:r w:rsidRPr="007E3492">
        <w:rPr>
          <w:rFonts w:asciiTheme="minorHAnsi" w:hAnsiTheme="minorHAnsi" w:cstheme="minorHAnsi"/>
          <w:bCs/>
          <w:szCs w:val="23"/>
        </w:rPr>
        <w:t>are</w:t>
      </w:r>
      <w:r w:rsidR="00461923" w:rsidRPr="007E3492">
        <w:rPr>
          <w:rFonts w:asciiTheme="minorHAnsi" w:hAnsiTheme="minorHAnsi" w:cstheme="minorHAnsi"/>
          <w:bCs/>
          <w:szCs w:val="23"/>
        </w:rPr>
        <w:t xml:space="preserve"> using the correct pathway to avoid</w:t>
      </w:r>
      <w:r w:rsidRPr="007E3492">
        <w:rPr>
          <w:rFonts w:asciiTheme="minorHAnsi" w:hAnsiTheme="minorHAnsi" w:cstheme="minorHAnsi"/>
          <w:bCs/>
          <w:szCs w:val="23"/>
        </w:rPr>
        <w:t xml:space="preserve"> </w:t>
      </w:r>
      <w:r w:rsidR="007E5D58" w:rsidRPr="007E3492">
        <w:rPr>
          <w:rFonts w:asciiTheme="minorHAnsi" w:hAnsiTheme="minorHAnsi" w:cstheme="minorHAnsi"/>
          <w:bCs/>
          <w:szCs w:val="23"/>
        </w:rPr>
        <w:t xml:space="preserve">referring to the wrong service or making duplicate referrals to both. </w:t>
      </w:r>
    </w:p>
    <w:p w14:paraId="2B9EE07D" w14:textId="77777777" w:rsidR="000911C0" w:rsidRPr="007E3492" w:rsidRDefault="000911C0" w:rsidP="0095036F">
      <w:p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</w:p>
    <w:p w14:paraId="095A7A8D" w14:textId="54741A3A" w:rsidR="006B2C5A" w:rsidRPr="007E3492" w:rsidRDefault="00C02307" w:rsidP="0095036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 xml:space="preserve">It is </w:t>
      </w:r>
      <w:r w:rsidR="005D3F67" w:rsidRPr="007E3492">
        <w:rPr>
          <w:rFonts w:asciiTheme="minorHAnsi" w:hAnsiTheme="minorHAnsi" w:cstheme="minorHAnsi"/>
          <w:bCs/>
          <w:szCs w:val="23"/>
        </w:rPr>
        <w:t>important</w:t>
      </w:r>
      <w:r w:rsidRPr="007E3492">
        <w:rPr>
          <w:rFonts w:asciiTheme="minorHAnsi" w:hAnsiTheme="minorHAnsi" w:cstheme="minorHAnsi"/>
          <w:bCs/>
          <w:szCs w:val="23"/>
        </w:rPr>
        <w:t xml:space="preserve"> that agencies record on their system</w:t>
      </w:r>
      <w:r w:rsidR="007E5D58" w:rsidRPr="007E3492">
        <w:rPr>
          <w:rFonts w:asciiTheme="minorHAnsi" w:hAnsiTheme="minorHAnsi" w:cstheme="minorHAnsi"/>
          <w:bCs/>
          <w:szCs w:val="23"/>
        </w:rPr>
        <w:t>s</w:t>
      </w:r>
      <w:r w:rsidRPr="007E3492">
        <w:rPr>
          <w:rFonts w:asciiTheme="minorHAnsi" w:hAnsiTheme="minorHAnsi" w:cstheme="minorHAnsi"/>
          <w:bCs/>
          <w:szCs w:val="23"/>
        </w:rPr>
        <w:t xml:space="preserve"> the referrals they </w:t>
      </w:r>
      <w:r w:rsidR="00461C97">
        <w:rPr>
          <w:rFonts w:asciiTheme="minorHAnsi" w:hAnsiTheme="minorHAnsi" w:cstheme="minorHAnsi"/>
          <w:bCs/>
          <w:szCs w:val="23"/>
        </w:rPr>
        <w:t>make and the outcomes from those</w:t>
      </w:r>
      <w:r w:rsidRPr="007E3492">
        <w:rPr>
          <w:rFonts w:asciiTheme="minorHAnsi" w:hAnsiTheme="minorHAnsi" w:cstheme="minorHAnsi"/>
          <w:bCs/>
          <w:szCs w:val="23"/>
        </w:rPr>
        <w:t xml:space="preserve"> – this is their responsibility as the referring agency. </w:t>
      </w:r>
    </w:p>
    <w:p w14:paraId="70477E5C" w14:textId="77777777" w:rsidR="007E5D58" w:rsidRPr="007E3492" w:rsidRDefault="007E5D58" w:rsidP="0095036F">
      <w:pPr>
        <w:pStyle w:val="ListParagraph"/>
        <w:jc w:val="both"/>
        <w:rPr>
          <w:rFonts w:asciiTheme="minorHAnsi" w:hAnsiTheme="minorHAnsi" w:cstheme="minorHAnsi"/>
          <w:bCs/>
          <w:szCs w:val="23"/>
        </w:rPr>
      </w:pPr>
    </w:p>
    <w:p w14:paraId="7B1F0674" w14:textId="53938575" w:rsidR="007E5D58" w:rsidRPr="007E3492" w:rsidRDefault="007E5D58" w:rsidP="0095036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 xml:space="preserve">If practitioners are unsure about the level of need for the child </w:t>
      </w:r>
      <w:r w:rsidR="00695871" w:rsidRPr="007E3492">
        <w:rPr>
          <w:rFonts w:asciiTheme="minorHAnsi" w:hAnsiTheme="minorHAnsi" w:cstheme="minorHAnsi"/>
          <w:bCs/>
          <w:szCs w:val="23"/>
        </w:rPr>
        <w:t>and</w:t>
      </w:r>
      <w:r w:rsidRPr="007E3492">
        <w:rPr>
          <w:rFonts w:asciiTheme="minorHAnsi" w:hAnsiTheme="minorHAnsi" w:cstheme="minorHAnsi"/>
          <w:bCs/>
          <w:szCs w:val="23"/>
        </w:rPr>
        <w:t xml:space="preserve"> family, it is important that they discuss this with their manager or safeguarding lead </w:t>
      </w:r>
      <w:r w:rsidR="0095036F" w:rsidRPr="007E3492">
        <w:rPr>
          <w:rFonts w:asciiTheme="minorHAnsi" w:hAnsiTheme="minorHAnsi" w:cstheme="minorHAnsi"/>
          <w:bCs/>
          <w:szCs w:val="23"/>
        </w:rPr>
        <w:t>to decide on the appropriate response for the child.</w:t>
      </w:r>
    </w:p>
    <w:p w14:paraId="3926A2AE" w14:textId="0CA48A29" w:rsidR="006B2C5A" w:rsidRPr="007E3492" w:rsidRDefault="006B2C5A" w:rsidP="0095036F">
      <w:p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</w:p>
    <w:p w14:paraId="1F54FCB2" w14:textId="6AC8FB7D" w:rsidR="00711E82" w:rsidRPr="007E3492" w:rsidRDefault="00711E82" w:rsidP="0095036F">
      <w:p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r w:rsidRPr="007E3492">
        <w:rPr>
          <w:rFonts w:asciiTheme="minorHAnsi" w:hAnsiTheme="minorHAnsi" w:cstheme="minorHAnsi"/>
          <w:bCs/>
          <w:szCs w:val="23"/>
        </w:rPr>
        <w:t xml:space="preserve">Where professionals recognise that the child or young person does not meet threshold for referral to the Family Front Door, </w:t>
      </w:r>
      <w:r w:rsidR="004E4CE3" w:rsidRPr="007E3492">
        <w:rPr>
          <w:rFonts w:asciiTheme="minorHAnsi" w:hAnsiTheme="minorHAnsi" w:cstheme="minorHAnsi"/>
          <w:bCs/>
          <w:szCs w:val="23"/>
        </w:rPr>
        <w:t xml:space="preserve">helpful information on the early help support available and possible next steps can be found </w:t>
      </w:r>
      <w:proofErr w:type="gramStart"/>
      <w:r w:rsidR="004E4CE3" w:rsidRPr="007E3492">
        <w:rPr>
          <w:rFonts w:asciiTheme="minorHAnsi" w:hAnsiTheme="minorHAnsi" w:cstheme="minorHAnsi"/>
          <w:bCs/>
          <w:szCs w:val="23"/>
        </w:rPr>
        <w:t>at;</w:t>
      </w:r>
      <w:proofErr w:type="gramEnd"/>
    </w:p>
    <w:p w14:paraId="6888EE7F" w14:textId="2BFA90D8" w:rsidR="004E4CE3" w:rsidRPr="007E3492" w:rsidRDefault="00D942A6" w:rsidP="0095036F">
      <w:p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hyperlink r:id="rId11" w:history="1">
        <w:r w:rsidR="004E4CE3" w:rsidRPr="007E3492">
          <w:rPr>
            <w:rStyle w:val="Hyperlink"/>
            <w:rFonts w:asciiTheme="minorHAnsi" w:hAnsiTheme="minorHAnsi" w:cstheme="minorHAnsi"/>
            <w:bCs/>
            <w:szCs w:val="23"/>
          </w:rPr>
          <w:t>Early help guidance for professionals | Worcestershire County Council</w:t>
        </w:r>
      </w:hyperlink>
    </w:p>
    <w:p w14:paraId="0166D6D9" w14:textId="30CBC830" w:rsidR="004E4CE3" w:rsidRPr="007E3492" w:rsidRDefault="00D942A6" w:rsidP="0095036F">
      <w:pPr>
        <w:spacing w:line="276" w:lineRule="auto"/>
        <w:jc w:val="both"/>
        <w:rPr>
          <w:rFonts w:asciiTheme="minorHAnsi" w:hAnsiTheme="minorHAnsi" w:cstheme="minorHAnsi"/>
          <w:bCs/>
          <w:szCs w:val="23"/>
        </w:rPr>
      </w:pPr>
      <w:hyperlink r:id="rId12" w:history="1">
        <w:r w:rsidR="004E4CE3" w:rsidRPr="007E3492">
          <w:rPr>
            <w:rStyle w:val="Hyperlink"/>
            <w:rFonts w:asciiTheme="minorHAnsi" w:hAnsiTheme="minorHAnsi" w:cstheme="minorHAnsi"/>
            <w:bCs/>
            <w:szCs w:val="23"/>
          </w:rPr>
          <w:t>The Family Hub | Worcestershire County Council</w:t>
        </w:r>
      </w:hyperlink>
    </w:p>
    <w:p w14:paraId="744F0D62" w14:textId="0E9B17EA" w:rsidR="006B2C5A" w:rsidRPr="007E3492" w:rsidRDefault="006B2C5A" w:rsidP="0095036F">
      <w:pPr>
        <w:spacing w:line="276" w:lineRule="auto"/>
        <w:jc w:val="both"/>
        <w:rPr>
          <w:rFonts w:asciiTheme="minorHAnsi" w:hAnsiTheme="minorHAnsi" w:cstheme="minorHAnsi"/>
          <w:b/>
          <w:szCs w:val="23"/>
        </w:rPr>
      </w:pPr>
    </w:p>
    <w:p w14:paraId="6EF11F7B" w14:textId="6E440894" w:rsidR="007E5D58" w:rsidRPr="007E3492" w:rsidRDefault="007E5D58" w:rsidP="0095036F">
      <w:pPr>
        <w:spacing w:line="276" w:lineRule="auto"/>
        <w:jc w:val="both"/>
        <w:rPr>
          <w:rFonts w:asciiTheme="minorHAnsi" w:hAnsiTheme="minorHAnsi" w:cstheme="minorHAnsi"/>
          <w:szCs w:val="23"/>
        </w:rPr>
      </w:pPr>
      <w:r w:rsidRPr="007E3492">
        <w:rPr>
          <w:rFonts w:asciiTheme="minorHAnsi" w:hAnsiTheme="minorHAnsi" w:cstheme="minorHAnsi"/>
          <w:szCs w:val="23"/>
        </w:rPr>
        <w:t xml:space="preserve">Agencies can also access Levels of Need Training through the Partnership at: </w:t>
      </w:r>
    </w:p>
    <w:p w14:paraId="4309FBE5" w14:textId="5A7D9F4E" w:rsidR="007E5D58" w:rsidRPr="007E5D58" w:rsidRDefault="00D942A6" w:rsidP="0095036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hyperlink r:id="rId13" w:history="1">
        <w:r w:rsidR="007E5D58" w:rsidRPr="007E3492">
          <w:rPr>
            <w:rStyle w:val="Hyperlink"/>
            <w:rFonts w:asciiTheme="minorHAnsi" w:hAnsiTheme="minorHAnsi" w:cstheme="minorHAnsi"/>
            <w:szCs w:val="23"/>
          </w:rPr>
          <w:t>WSCP Training and Events - Worcestershire Safeguarding Boards (safeguardingworcestershire.org.uk)</w:t>
        </w:r>
      </w:hyperlink>
      <w:r w:rsidR="007E5D58" w:rsidRPr="007E5D58">
        <w:rPr>
          <w:rFonts w:asciiTheme="minorHAnsi" w:hAnsiTheme="minorHAnsi" w:cstheme="minorHAnsi"/>
          <w:sz w:val="24"/>
        </w:rPr>
        <w:t xml:space="preserve"> </w:t>
      </w:r>
    </w:p>
    <w:sectPr w:rsidR="007E5D58" w:rsidRPr="007E5D5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E917B" w14:textId="77777777" w:rsidR="00FB6101" w:rsidRDefault="00FB6101" w:rsidP="00FB6101">
      <w:r>
        <w:separator/>
      </w:r>
    </w:p>
  </w:endnote>
  <w:endnote w:type="continuationSeparator" w:id="0">
    <w:p w14:paraId="5BE1E02A" w14:textId="77777777" w:rsidR="00FB6101" w:rsidRDefault="00FB6101" w:rsidP="00FB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1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2A4A8" w14:textId="77777777" w:rsidR="00D5558A" w:rsidRDefault="00D55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393E7" w14:textId="77777777" w:rsidR="00D5558A" w:rsidRDefault="00D55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918C9" w14:textId="77777777" w:rsidR="00FB6101" w:rsidRDefault="00FB6101" w:rsidP="00FB6101">
      <w:r>
        <w:separator/>
      </w:r>
    </w:p>
  </w:footnote>
  <w:footnote w:type="continuationSeparator" w:id="0">
    <w:p w14:paraId="7F2A35DB" w14:textId="77777777" w:rsidR="00FB6101" w:rsidRDefault="00FB6101" w:rsidP="00FB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D3144" w14:textId="368F7995" w:rsidR="007E3492" w:rsidRDefault="007E3492" w:rsidP="007E3492">
    <w:pPr>
      <w:pStyle w:val="Header"/>
      <w:jc w:val="center"/>
    </w:pPr>
    <w:r w:rsidRPr="007E3492">
      <w:rPr>
        <w:rFonts w:ascii="Calibri" w:hAnsi="Calibri" w:cs="Calibri"/>
        <w:noProof/>
        <w:sz w:val="22"/>
        <w:szCs w:val="22"/>
      </w:rPr>
      <w:drawing>
        <wp:inline distT="0" distB="0" distL="0" distR="0" wp14:anchorId="39381149" wp14:editId="7E4A9142">
          <wp:extent cx="1085463" cy="1152000"/>
          <wp:effectExtent l="0" t="0" r="635" b="0"/>
          <wp:docPr id="2" name="Picture 2" descr="A picture containing food, room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Stay Safe Logo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357" cy="123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4A1D"/>
    <w:multiLevelType w:val="hybridMultilevel"/>
    <w:tmpl w:val="1FAC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B35"/>
    <w:multiLevelType w:val="hybridMultilevel"/>
    <w:tmpl w:val="EFE0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F11"/>
    <w:multiLevelType w:val="hybridMultilevel"/>
    <w:tmpl w:val="A0AE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7284"/>
    <w:multiLevelType w:val="hybridMultilevel"/>
    <w:tmpl w:val="DCBC9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2F11"/>
    <w:multiLevelType w:val="hybridMultilevel"/>
    <w:tmpl w:val="DC1CB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4213"/>
    <w:multiLevelType w:val="hybridMultilevel"/>
    <w:tmpl w:val="73145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021F"/>
    <w:multiLevelType w:val="hybridMultilevel"/>
    <w:tmpl w:val="F654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177B"/>
    <w:multiLevelType w:val="hybridMultilevel"/>
    <w:tmpl w:val="9C064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D53"/>
    <w:multiLevelType w:val="hybridMultilevel"/>
    <w:tmpl w:val="079AE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16FD1"/>
    <w:multiLevelType w:val="hybridMultilevel"/>
    <w:tmpl w:val="E0A48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6BC6"/>
    <w:multiLevelType w:val="hybridMultilevel"/>
    <w:tmpl w:val="92068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50F24"/>
    <w:multiLevelType w:val="hybridMultilevel"/>
    <w:tmpl w:val="22F43F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D852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8401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5BB46BB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A6071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0BE16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3550B4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9AFEA4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196C9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2" w15:restartNumberingAfterBreak="0">
    <w:nsid w:val="56B642DD"/>
    <w:multiLevelType w:val="hybridMultilevel"/>
    <w:tmpl w:val="8F3C8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33430"/>
    <w:multiLevelType w:val="hybridMultilevel"/>
    <w:tmpl w:val="8AA66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74363"/>
    <w:multiLevelType w:val="hybridMultilevel"/>
    <w:tmpl w:val="44BC6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03521"/>
    <w:multiLevelType w:val="hybridMultilevel"/>
    <w:tmpl w:val="C498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954B6"/>
    <w:multiLevelType w:val="hybridMultilevel"/>
    <w:tmpl w:val="D0169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740FF"/>
    <w:multiLevelType w:val="hybridMultilevel"/>
    <w:tmpl w:val="86DE6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BB39F6"/>
    <w:multiLevelType w:val="hybridMultilevel"/>
    <w:tmpl w:val="C83065E4"/>
    <w:lvl w:ilvl="0" w:tplc="ED72E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012C7"/>
    <w:multiLevelType w:val="hybridMultilevel"/>
    <w:tmpl w:val="A0A66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18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01"/>
    <w:rsid w:val="000212A7"/>
    <w:rsid w:val="00022B07"/>
    <w:rsid w:val="00037B56"/>
    <w:rsid w:val="00050C46"/>
    <w:rsid w:val="00083062"/>
    <w:rsid w:val="000911C0"/>
    <w:rsid w:val="000C3ECB"/>
    <w:rsid w:val="000D068E"/>
    <w:rsid w:val="000D4A4E"/>
    <w:rsid w:val="000F38EE"/>
    <w:rsid w:val="00120164"/>
    <w:rsid w:val="00145802"/>
    <w:rsid w:val="0018300F"/>
    <w:rsid w:val="0018653C"/>
    <w:rsid w:val="001D4141"/>
    <w:rsid w:val="001E4A87"/>
    <w:rsid w:val="001F7A0D"/>
    <w:rsid w:val="00207337"/>
    <w:rsid w:val="00210E83"/>
    <w:rsid w:val="0022044F"/>
    <w:rsid w:val="00262500"/>
    <w:rsid w:val="00280913"/>
    <w:rsid w:val="00292EB5"/>
    <w:rsid w:val="002968C7"/>
    <w:rsid w:val="002A2FA2"/>
    <w:rsid w:val="002C2683"/>
    <w:rsid w:val="002C3BCD"/>
    <w:rsid w:val="002D2ECB"/>
    <w:rsid w:val="002E54E8"/>
    <w:rsid w:val="002F3D37"/>
    <w:rsid w:val="002F7A90"/>
    <w:rsid w:val="00301C62"/>
    <w:rsid w:val="00320A7F"/>
    <w:rsid w:val="0033772B"/>
    <w:rsid w:val="00340B0C"/>
    <w:rsid w:val="0037799F"/>
    <w:rsid w:val="003B7709"/>
    <w:rsid w:val="003C18D6"/>
    <w:rsid w:val="003F4860"/>
    <w:rsid w:val="00402C82"/>
    <w:rsid w:val="0040565B"/>
    <w:rsid w:val="004127FB"/>
    <w:rsid w:val="0044575A"/>
    <w:rsid w:val="00445E24"/>
    <w:rsid w:val="00461923"/>
    <w:rsid w:val="00461C97"/>
    <w:rsid w:val="00466EB3"/>
    <w:rsid w:val="00486D71"/>
    <w:rsid w:val="004B2523"/>
    <w:rsid w:val="004B31F4"/>
    <w:rsid w:val="004E1ED6"/>
    <w:rsid w:val="004E4CE3"/>
    <w:rsid w:val="004E5EDA"/>
    <w:rsid w:val="004F25DF"/>
    <w:rsid w:val="00504E54"/>
    <w:rsid w:val="00505E3E"/>
    <w:rsid w:val="00517300"/>
    <w:rsid w:val="00523821"/>
    <w:rsid w:val="00537306"/>
    <w:rsid w:val="00540334"/>
    <w:rsid w:val="005543C1"/>
    <w:rsid w:val="005725FF"/>
    <w:rsid w:val="00575DC4"/>
    <w:rsid w:val="005D363B"/>
    <w:rsid w:val="005D3F67"/>
    <w:rsid w:val="005E2005"/>
    <w:rsid w:val="006065B2"/>
    <w:rsid w:val="00616D76"/>
    <w:rsid w:val="00617F69"/>
    <w:rsid w:val="00622F08"/>
    <w:rsid w:val="006237EC"/>
    <w:rsid w:val="00632386"/>
    <w:rsid w:val="0066382D"/>
    <w:rsid w:val="00682786"/>
    <w:rsid w:val="00682DEE"/>
    <w:rsid w:val="00695871"/>
    <w:rsid w:val="006B2C5A"/>
    <w:rsid w:val="006E72D4"/>
    <w:rsid w:val="006F32FF"/>
    <w:rsid w:val="007011A7"/>
    <w:rsid w:val="00711E82"/>
    <w:rsid w:val="00721920"/>
    <w:rsid w:val="0074500C"/>
    <w:rsid w:val="007727FB"/>
    <w:rsid w:val="00780355"/>
    <w:rsid w:val="0078796D"/>
    <w:rsid w:val="007911C5"/>
    <w:rsid w:val="007E3492"/>
    <w:rsid w:val="007E5D58"/>
    <w:rsid w:val="00817ABB"/>
    <w:rsid w:val="0082621A"/>
    <w:rsid w:val="0089129B"/>
    <w:rsid w:val="008944F8"/>
    <w:rsid w:val="008A4BDC"/>
    <w:rsid w:val="008B2847"/>
    <w:rsid w:val="008C0490"/>
    <w:rsid w:val="008C50EB"/>
    <w:rsid w:val="00906B98"/>
    <w:rsid w:val="0095036F"/>
    <w:rsid w:val="009627D2"/>
    <w:rsid w:val="00980287"/>
    <w:rsid w:val="009B086E"/>
    <w:rsid w:val="009B1B21"/>
    <w:rsid w:val="009D39A6"/>
    <w:rsid w:val="009F66B7"/>
    <w:rsid w:val="00A05645"/>
    <w:rsid w:val="00A05F85"/>
    <w:rsid w:val="00A16CD9"/>
    <w:rsid w:val="00A40B37"/>
    <w:rsid w:val="00A41985"/>
    <w:rsid w:val="00A633F1"/>
    <w:rsid w:val="00A63A3B"/>
    <w:rsid w:val="00A76E24"/>
    <w:rsid w:val="00AB2956"/>
    <w:rsid w:val="00AB6272"/>
    <w:rsid w:val="00AC07E0"/>
    <w:rsid w:val="00AC667E"/>
    <w:rsid w:val="00AF6612"/>
    <w:rsid w:val="00B03D06"/>
    <w:rsid w:val="00B07A34"/>
    <w:rsid w:val="00B12EF0"/>
    <w:rsid w:val="00B1745B"/>
    <w:rsid w:val="00B35744"/>
    <w:rsid w:val="00B42444"/>
    <w:rsid w:val="00B445BD"/>
    <w:rsid w:val="00B52F0C"/>
    <w:rsid w:val="00B64B0F"/>
    <w:rsid w:val="00B66C7A"/>
    <w:rsid w:val="00B67986"/>
    <w:rsid w:val="00B90F21"/>
    <w:rsid w:val="00B93D6E"/>
    <w:rsid w:val="00B979A6"/>
    <w:rsid w:val="00BB7319"/>
    <w:rsid w:val="00BE0F0F"/>
    <w:rsid w:val="00C02307"/>
    <w:rsid w:val="00C02E12"/>
    <w:rsid w:val="00C12586"/>
    <w:rsid w:val="00C26791"/>
    <w:rsid w:val="00C65601"/>
    <w:rsid w:val="00C71329"/>
    <w:rsid w:val="00CB3955"/>
    <w:rsid w:val="00CB785A"/>
    <w:rsid w:val="00CC3265"/>
    <w:rsid w:val="00D0490D"/>
    <w:rsid w:val="00D31784"/>
    <w:rsid w:val="00D35A9F"/>
    <w:rsid w:val="00D5558A"/>
    <w:rsid w:val="00D72B83"/>
    <w:rsid w:val="00D811DD"/>
    <w:rsid w:val="00D920D6"/>
    <w:rsid w:val="00D942A6"/>
    <w:rsid w:val="00DA2A70"/>
    <w:rsid w:val="00DD39A0"/>
    <w:rsid w:val="00E32131"/>
    <w:rsid w:val="00E375B4"/>
    <w:rsid w:val="00E602DA"/>
    <w:rsid w:val="00E81FCE"/>
    <w:rsid w:val="00E849CE"/>
    <w:rsid w:val="00E86899"/>
    <w:rsid w:val="00E92CB1"/>
    <w:rsid w:val="00EA59F8"/>
    <w:rsid w:val="00EB14BA"/>
    <w:rsid w:val="00EB3E46"/>
    <w:rsid w:val="00EC5840"/>
    <w:rsid w:val="00F00B53"/>
    <w:rsid w:val="00F03471"/>
    <w:rsid w:val="00F12CE3"/>
    <w:rsid w:val="00F41ED2"/>
    <w:rsid w:val="00F44BE3"/>
    <w:rsid w:val="00F45453"/>
    <w:rsid w:val="00F520F8"/>
    <w:rsid w:val="00F61480"/>
    <w:rsid w:val="00F66BD5"/>
    <w:rsid w:val="00F96930"/>
    <w:rsid w:val="00FB6101"/>
    <w:rsid w:val="00FC093F"/>
    <w:rsid w:val="00FC0D60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73A83"/>
  <w15:chartTrackingRefBased/>
  <w15:docId w15:val="{C31EA068-09C0-4494-9F02-AD21CF68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101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01"/>
    <w:rPr>
      <w:rFonts w:ascii="Arial" w:eastAsia="Times New Roman" w:hAnsi="Arial" w:cs="Times New Roman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101"/>
    <w:rPr>
      <w:rFonts w:ascii="Arial" w:eastAsia="Times New Roman" w:hAnsi="Arial" w:cs="Times New Roman"/>
      <w:sz w:val="23"/>
      <w:szCs w:val="24"/>
    </w:rPr>
  </w:style>
  <w:style w:type="paragraph" w:styleId="ListParagraph">
    <w:name w:val="List Paragraph"/>
    <w:basedOn w:val="Normal"/>
    <w:uiPriority w:val="34"/>
    <w:qFormat/>
    <w:rsid w:val="00D920D6"/>
    <w:pPr>
      <w:ind w:left="720"/>
      <w:contextualSpacing/>
    </w:pPr>
  </w:style>
  <w:style w:type="table" w:styleId="TableGrid">
    <w:name w:val="Table Grid"/>
    <w:basedOn w:val="TableNormal"/>
    <w:uiPriority w:val="39"/>
    <w:rsid w:val="00B3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C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feguardingworcestershire.org.uk/learning-development/training-c/wscb-ev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orcestershire.gov.uk/info/20643/the_family_hu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rcestershire.gov.uk/earlyhel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afeguardingworcestershire.org.uk/wp-content/uploads/2020/04/Levels-of-Need-Document-formerly-Thresholds-document-updated-May-2019-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AA9705B23F941BEC39745A3EB50CE" ma:contentTypeVersion="10" ma:contentTypeDescription="Create a new document." ma:contentTypeScope="" ma:versionID="fb086229f391ca3b016733bc6065a467">
  <xsd:schema xmlns:xsd="http://www.w3.org/2001/XMLSchema" xmlns:xs="http://www.w3.org/2001/XMLSchema" xmlns:p="http://schemas.microsoft.com/office/2006/metadata/properties" xmlns:ns3="ce501fdd-dfb9-4162-942f-ae7020a0315c" targetNamespace="http://schemas.microsoft.com/office/2006/metadata/properties" ma:root="true" ma:fieldsID="dd000ee33a08f468c42343eb837075bf" ns3:_="">
    <xsd:import namespace="ce501fdd-dfb9-4162-942f-ae7020a03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01fdd-dfb9-4162-942f-ae7020a0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3F243-E0B6-4B73-878E-A7B1C363D447}">
  <ds:schemaRefs>
    <ds:schemaRef ds:uri="ce501fdd-dfb9-4162-942f-ae7020a0315c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AA365D-E04E-4554-B50C-91CD46CBA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01fdd-dfb9-4162-942f-ae7020a0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703B8-F98D-4C36-BD18-44F709F4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Sammi</dc:creator>
  <cp:keywords/>
  <dc:description/>
  <cp:lastModifiedBy>Eccleston, Steve</cp:lastModifiedBy>
  <cp:revision>11</cp:revision>
  <dcterms:created xsi:type="dcterms:W3CDTF">2021-07-26T06:43:00Z</dcterms:created>
  <dcterms:modified xsi:type="dcterms:W3CDTF">2021-07-26T07:29:00Z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0x010100AFBAA9705B23F941BEC39745A3EB50CE</vt:lpwstr>
  </property>
</Properties>
</file>