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7B88" w14:textId="77777777" w:rsidR="008D2E4F" w:rsidRDefault="008D2E4F" w:rsidP="00BF4D76">
      <w:pPr>
        <w:pStyle w:val="Heading1"/>
      </w:pPr>
    </w:p>
    <w:p w14:paraId="67C82FD2" w14:textId="6139539A" w:rsidR="008D2E4F" w:rsidRDefault="00BF4D76" w:rsidP="008D2E4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Mental Capacity Act </w:t>
      </w:r>
    </w:p>
    <w:p w14:paraId="0EC0DBA0" w14:textId="77777777" w:rsidR="008D2E4F" w:rsidRDefault="00566AB9" w:rsidP="008D2E4F">
      <w:pPr>
        <w:jc w:val="center"/>
        <w:rPr>
          <w:rFonts w:cstheme="minorHAnsi"/>
          <w:b/>
          <w:bCs/>
        </w:rPr>
      </w:pPr>
      <w:r w:rsidRPr="00566AB9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afeguarding Adult Review</w:t>
      </w:r>
      <w:r w:rsidR="008D2E4F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 </w:t>
      </w:r>
    </w:p>
    <w:p w14:paraId="32CA873E" w14:textId="30EA333E" w:rsidR="00566AB9" w:rsidRPr="00566AB9" w:rsidRDefault="00BF4D76" w:rsidP="008D2E4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Learning and Resources</w:t>
      </w:r>
    </w:p>
    <w:p w14:paraId="5BDBA608" w14:textId="5A469D4C" w:rsidR="00566AB9" w:rsidRDefault="00566AB9" w:rsidP="00566AB9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Local SARs where</w:t>
      </w:r>
      <w:r w:rsidR="007D625A">
        <w:rPr>
          <w:rFonts w:cstheme="minorHAnsi"/>
          <w:b/>
          <w:bCs/>
          <w:lang w:val="en-US"/>
        </w:rPr>
        <w:t xml:space="preserve"> application </w:t>
      </w:r>
      <w:r w:rsidR="00330AC3">
        <w:rPr>
          <w:rFonts w:cstheme="minorHAnsi"/>
          <w:b/>
          <w:bCs/>
          <w:lang w:val="en-US"/>
        </w:rPr>
        <w:t>of Mental</w:t>
      </w:r>
      <w:r w:rsidR="00BF4D76">
        <w:rPr>
          <w:rFonts w:cstheme="minorHAnsi"/>
          <w:b/>
          <w:bCs/>
          <w:lang w:val="en-US"/>
        </w:rPr>
        <w:t xml:space="preserve"> Capacity is</w:t>
      </w:r>
      <w:r>
        <w:rPr>
          <w:rFonts w:cstheme="minorHAnsi"/>
          <w:b/>
          <w:bCs/>
          <w:lang w:val="en-US"/>
        </w:rPr>
        <w:t xml:space="preserve"> a feature:</w:t>
      </w:r>
    </w:p>
    <w:p w14:paraId="7421FCA8" w14:textId="6B927064" w:rsidR="00BF4D76" w:rsidRDefault="00FF7D1A" w:rsidP="00BF4D7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Worcestershire Safeguarding Adults Board (WSAB) have published</w:t>
      </w:r>
      <w:r w:rsidR="00BF4D76">
        <w:rPr>
          <w:rFonts w:cstheme="minorHAnsi"/>
          <w:lang w:val="en-US"/>
        </w:rPr>
        <w:t>, several Safeguarding Adults Reviews (SARs) which found</w:t>
      </w:r>
      <w:r>
        <w:rPr>
          <w:rFonts w:cstheme="minorHAnsi"/>
          <w:lang w:val="en-US"/>
        </w:rPr>
        <w:t xml:space="preserve"> that </w:t>
      </w:r>
      <w:r w:rsidR="00330AC3">
        <w:rPr>
          <w:rFonts w:cstheme="minorHAnsi"/>
          <w:lang w:val="en-US"/>
        </w:rPr>
        <w:t>the Mental</w:t>
      </w:r>
      <w:r w:rsidR="00BF4D76">
        <w:rPr>
          <w:rFonts w:cstheme="minorHAnsi"/>
          <w:lang w:val="en-US"/>
        </w:rPr>
        <w:t xml:space="preserve"> Capacity Act (MCA) could have been better applied</w:t>
      </w:r>
      <w:r w:rsidR="007D625A">
        <w:rPr>
          <w:rFonts w:cstheme="minorHAnsi"/>
          <w:lang w:val="en-US"/>
        </w:rPr>
        <w:t xml:space="preserve">, including the use of best interest decisions and applying executive function. </w:t>
      </w:r>
      <w:r w:rsidR="00BF4D76">
        <w:rPr>
          <w:rFonts w:cstheme="minorHAnsi"/>
          <w:lang w:val="en-US"/>
        </w:rPr>
        <w:t xml:space="preserve"> These include:</w:t>
      </w:r>
    </w:p>
    <w:p w14:paraId="13F7DCEB" w14:textId="65F30F08" w:rsidR="007D625A" w:rsidRDefault="001C3131" w:rsidP="00BF4D76">
      <w:pPr>
        <w:pStyle w:val="ListParagraph"/>
        <w:numPr>
          <w:ilvl w:val="0"/>
          <w:numId w:val="5"/>
        </w:numPr>
        <w:jc w:val="both"/>
        <w:rPr>
          <w:rFonts w:cstheme="minorHAnsi"/>
          <w:lang w:val="en-US"/>
        </w:rPr>
      </w:pPr>
      <w:hyperlink r:id="rId7" w:history="1">
        <w:r w:rsidR="007D625A" w:rsidRPr="007D625A">
          <w:rPr>
            <w:rStyle w:val="Hyperlink"/>
            <w:rFonts w:cstheme="minorHAnsi"/>
            <w:lang w:val="en-US"/>
          </w:rPr>
          <w:t>Alison - Learning Brief</w:t>
        </w:r>
      </w:hyperlink>
      <w:r w:rsidR="007D625A">
        <w:rPr>
          <w:rFonts w:cstheme="minorHAnsi"/>
          <w:lang w:val="en-US"/>
        </w:rPr>
        <w:t xml:space="preserve">  (including executive function) </w:t>
      </w:r>
    </w:p>
    <w:p w14:paraId="4D2FFB28" w14:textId="18B5DD4F" w:rsidR="00BF4D76" w:rsidRDefault="001C3131" w:rsidP="00BF4D76">
      <w:pPr>
        <w:pStyle w:val="ListParagraph"/>
        <w:numPr>
          <w:ilvl w:val="0"/>
          <w:numId w:val="5"/>
        </w:numPr>
        <w:jc w:val="both"/>
        <w:rPr>
          <w:rFonts w:cstheme="minorHAnsi"/>
          <w:lang w:val="en-US"/>
        </w:rPr>
      </w:pPr>
      <w:hyperlink r:id="rId8" w:history="1">
        <w:r w:rsidR="00BF4D76" w:rsidRPr="00BF4D76">
          <w:rPr>
            <w:rStyle w:val="Hyperlink"/>
            <w:rFonts w:cstheme="minorHAnsi"/>
            <w:lang w:val="en-US"/>
          </w:rPr>
          <w:t>Lucy - Learning Brief</w:t>
        </w:r>
      </w:hyperlink>
      <w:r w:rsidR="00265BB6">
        <w:rPr>
          <w:rFonts w:cstheme="minorHAnsi"/>
          <w:lang w:val="en-US"/>
        </w:rPr>
        <w:t xml:space="preserve"> (including Best Interest Decisions)</w:t>
      </w:r>
    </w:p>
    <w:p w14:paraId="60E601FC" w14:textId="423DFC2E" w:rsidR="00265BB6" w:rsidRDefault="001C3131" w:rsidP="00BF4D76">
      <w:pPr>
        <w:pStyle w:val="ListParagraph"/>
        <w:numPr>
          <w:ilvl w:val="0"/>
          <w:numId w:val="5"/>
        </w:numPr>
        <w:jc w:val="both"/>
        <w:rPr>
          <w:rFonts w:cstheme="minorHAnsi"/>
          <w:lang w:val="en-US"/>
        </w:rPr>
      </w:pPr>
      <w:hyperlink r:id="rId9" w:history="1">
        <w:r w:rsidR="00265BB6">
          <w:rPr>
            <w:rStyle w:val="Hyperlink"/>
            <w:rFonts w:cstheme="minorHAnsi"/>
            <w:lang w:val="en-US"/>
          </w:rPr>
          <w:t>Mary</w:t>
        </w:r>
        <w:r w:rsidR="00265BB6" w:rsidRPr="00265BB6">
          <w:rPr>
            <w:rStyle w:val="Hyperlink"/>
            <w:rFonts w:cstheme="minorHAnsi"/>
            <w:lang w:val="en-US"/>
          </w:rPr>
          <w:t xml:space="preserve"> - Leaning Brief </w:t>
        </w:r>
      </w:hyperlink>
      <w:r w:rsidR="007D625A">
        <w:rPr>
          <w:rFonts w:cstheme="minorHAnsi"/>
          <w:lang w:val="en-US"/>
        </w:rPr>
        <w:t xml:space="preserve"> (Including Best Interest Decisions)</w:t>
      </w:r>
      <w:r w:rsidR="00265BB6">
        <w:rPr>
          <w:rFonts w:cstheme="minorHAnsi"/>
          <w:lang w:val="en-US"/>
        </w:rPr>
        <w:t xml:space="preserve"> </w:t>
      </w:r>
    </w:p>
    <w:p w14:paraId="21BD3880" w14:textId="710430F7" w:rsidR="00265BB6" w:rsidRDefault="001C3131" w:rsidP="00BF4D76">
      <w:pPr>
        <w:pStyle w:val="ListParagraph"/>
        <w:numPr>
          <w:ilvl w:val="0"/>
          <w:numId w:val="5"/>
        </w:numPr>
        <w:jc w:val="both"/>
        <w:rPr>
          <w:rFonts w:cstheme="minorHAnsi"/>
          <w:lang w:val="en-US"/>
        </w:rPr>
      </w:pPr>
      <w:hyperlink r:id="rId10" w:history="1">
        <w:r w:rsidR="00265BB6" w:rsidRPr="00265BB6">
          <w:rPr>
            <w:rStyle w:val="Hyperlink"/>
            <w:rFonts w:cstheme="minorHAnsi"/>
            <w:lang w:val="en-US"/>
          </w:rPr>
          <w:t>Jane - learning brief</w:t>
        </w:r>
      </w:hyperlink>
    </w:p>
    <w:p w14:paraId="48D77476" w14:textId="44887693" w:rsidR="00265BB6" w:rsidRDefault="001C3131" w:rsidP="00BF4D76">
      <w:pPr>
        <w:pStyle w:val="ListParagraph"/>
        <w:numPr>
          <w:ilvl w:val="0"/>
          <w:numId w:val="5"/>
        </w:numPr>
        <w:jc w:val="both"/>
        <w:rPr>
          <w:rFonts w:cstheme="minorHAnsi"/>
          <w:lang w:val="en-US"/>
        </w:rPr>
      </w:pPr>
      <w:hyperlink r:id="rId11" w:history="1">
        <w:r w:rsidR="00265BB6" w:rsidRPr="00265BB6">
          <w:rPr>
            <w:rStyle w:val="Hyperlink"/>
            <w:rFonts w:cstheme="minorHAnsi"/>
            <w:lang w:val="en-US"/>
          </w:rPr>
          <w:t>David - Learning Brief</w:t>
        </w:r>
      </w:hyperlink>
      <w:r w:rsidR="00265BB6">
        <w:rPr>
          <w:rFonts w:cstheme="minorHAnsi"/>
          <w:lang w:val="en-US"/>
        </w:rPr>
        <w:t xml:space="preserve"> </w:t>
      </w:r>
    </w:p>
    <w:p w14:paraId="7C530A0F" w14:textId="77777777" w:rsidR="007D625A" w:rsidRPr="00BF4D76" w:rsidRDefault="007D625A" w:rsidP="007D625A">
      <w:pPr>
        <w:pStyle w:val="ListParagraph"/>
        <w:jc w:val="both"/>
        <w:rPr>
          <w:rFonts w:cstheme="minorHAnsi"/>
          <w:lang w:val="en-US"/>
        </w:rPr>
      </w:pPr>
    </w:p>
    <w:p w14:paraId="252EDCE3" w14:textId="3ABD4527" w:rsidR="00BF4D76" w:rsidRPr="00BF4D76" w:rsidRDefault="00BF4D76" w:rsidP="00BF4D76">
      <w:pPr>
        <w:jc w:val="both"/>
        <w:rPr>
          <w:rFonts w:cstheme="minorHAnsi"/>
          <w:b/>
          <w:bCs/>
          <w:lang w:val="en-US"/>
        </w:rPr>
      </w:pPr>
      <w:r w:rsidRPr="00BF4D76">
        <w:rPr>
          <w:rFonts w:cstheme="minorHAnsi"/>
          <w:b/>
          <w:bCs/>
          <w:lang w:val="en-US"/>
        </w:rPr>
        <w:t>Local Resources</w:t>
      </w:r>
    </w:p>
    <w:p w14:paraId="2D6ABE20" w14:textId="14FFCCA3" w:rsidR="007D625A" w:rsidRPr="00FF7D1A" w:rsidRDefault="00BF4D76" w:rsidP="00FF7D1A">
      <w:pPr>
        <w:pStyle w:val="ListParagraph"/>
        <w:numPr>
          <w:ilvl w:val="0"/>
          <w:numId w:val="7"/>
        </w:numPr>
        <w:rPr>
          <w:rFonts w:eastAsia="Times New Roman" w:cstheme="minorHAnsi"/>
          <w:lang w:eastAsia="ko-KR"/>
        </w:rPr>
      </w:pPr>
      <w:r>
        <w:rPr>
          <w:rFonts w:eastAsia="Times New Roman" w:cstheme="minorHAnsi"/>
          <w:lang w:eastAsia="ko-KR"/>
        </w:rPr>
        <w:t xml:space="preserve">The WSAB have produced podcasts and webinars which can help to develop practitioner’s knowledge and awareness of how to apply the MCA.  These </w:t>
      </w:r>
      <w:r w:rsidR="00FF7D1A">
        <w:rPr>
          <w:rFonts w:eastAsia="Times New Roman" w:cstheme="minorHAnsi"/>
          <w:lang w:eastAsia="ko-KR"/>
        </w:rPr>
        <w:t xml:space="preserve">can be found via the link below and </w:t>
      </w:r>
      <w:r>
        <w:rPr>
          <w:rFonts w:eastAsia="Times New Roman" w:cstheme="minorHAnsi"/>
          <w:lang w:eastAsia="ko-KR"/>
        </w:rPr>
        <w:t>include</w:t>
      </w:r>
      <w:r w:rsidR="00FF7D1A">
        <w:rPr>
          <w:rFonts w:eastAsia="Times New Roman" w:cstheme="minorHAnsi"/>
          <w:lang w:eastAsia="ko-KR"/>
        </w:rPr>
        <w:t xml:space="preserve"> advice on application of the Mental Capacity Act and making Best Interest Assessments, along with a podcast on understanding Executive Function:</w:t>
      </w:r>
      <w:r>
        <w:rPr>
          <w:rFonts w:eastAsia="Times New Roman" w:cstheme="minorHAnsi"/>
          <w:lang w:eastAsia="ko-KR"/>
        </w:rPr>
        <w:t xml:space="preserve">  </w:t>
      </w:r>
      <w:hyperlink r:id="rId12" w:history="1">
        <w:r w:rsidR="00FF7D1A" w:rsidRPr="00FF7D1A">
          <w:rPr>
            <w:rStyle w:val="Hyperlink"/>
            <w:rFonts w:eastAsia="Times New Roman" w:cstheme="minorHAnsi"/>
            <w:lang w:eastAsia="ko-KR"/>
          </w:rPr>
          <w:t>Link to WSAB resources website page</w:t>
        </w:r>
      </w:hyperlink>
    </w:p>
    <w:p w14:paraId="35422489" w14:textId="2EF26C80" w:rsidR="007D625A" w:rsidRDefault="007D625A" w:rsidP="007D625A">
      <w:pPr>
        <w:rPr>
          <w:rFonts w:eastAsia="Times New Roman" w:cstheme="minorHAnsi"/>
          <w:b/>
          <w:bCs/>
          <w:lang w:eastAsia="ko-KR"/>
        </w:rPr>
      </w:pPr>
      <w:r w:rsidRPr="007D625A">
        <w:rPr>
          <w:rFonts w:eastAsia="Times New Roman" w:cstheme="minorHAnsi"/>
          <w:b/>
          <w:bCs/>
          <w:lang w:eastAsia="ko-KR"/>
        </w:rPr>
        <w:t>Local Policies and Procedures</w:t>
      </w:r>
    </w:p>
    <w:p w14:paraId="25394889" w14:textId="634EBF80" w:rsidR="00FF7D1A" w:rsidRPr="00FF7D1A" w:rsidRDefault="00FF7D1A" w:rsidP="007D625A">
      <w:pPr>
        <w:rPr>
          <w:rFonts w:eastAsia="Times New Roman" w:cstheme="minorHAnsi"/>
          <w:lang w:eastAsia="ko-KR"/>
        </w:rPr>
      </w:pPr>
      <w:r w:rsidRPr="00FF7D1A">
        <w:rPr>
          <w:rFonts w:eastAsia="Times New Roman" w:cstheme="minorHAnsi"/>
          <w:lang w:eastAsia="ko-KR"/>
        </w:rPr>
        <w:t>The following local policies and guidance also provide information for practitioners:</w:t>
      </w:r>
    </w:p>
    <w:p w14:paraId="7FDBFB3C" w14:textId="6D3CE37D" w:rsidR="007D625A" w:rsidRPr="00FF7D1A" w:rsidRDefault="001C3131" w:rsidP="00FF7D1A">
      <w:pPr>
        <w:pStyle w:val="ListParagraph"/>
        <w:numPr>
          <w:ilvl w:val="0"/>
          <w:numId w:val="6"/>
        </w:numPr>
        <w:rPr>
          <w:rFonts w:eastAsia="Times New Roman" w:cstheme="minorHAnsi"/>
          <w:lang w:eastAsia="ko-KR"/>
        </w:rPr>
      </w:pPr>
      <w:hyperlink r:id="rId13" w:history="1">
        <w:r w:rsidR="007D625A" w:rsidRPr="00FF7D1A">
          <w:rPr>
            <w:rStyle w:val="Hyperlink"/>
            <w:rFonts w:eastAsia="Times New Roman" w:cstheme="minorHAnsi"/>
            <w:lang w:eastAsia="ko-KR"/>
          </w:rPr>
          <w:t>WSAB Mental Capacity Act and Deprivation of Liberty Competency Framework</w:t>
        </w:r>
      </w:hyperlink>
    </w:p>
    <w:p w14:paraId="17E0E639" w14:textId="3873BB0B" w:rsidR="007D625A" w:rsidRPr="00FF7D1A" w:rsidRDefault="001C3131" w:rsidP="00FF7D1A">
      <w:pPr>
        <w:pStyle w:val="ListParagraph"/>
        <w:numPr>
          <w:ilvl w:val="0"/>
          <w:numId w:val="6"/>
        </w:numPr>
        <w:rPr>
          <w:rFonts w:eastAsia="Times New Roman" w:cstheme="minorHAnsi"/>
          <w:lang w:eastAsia="ko-KR"/>
        </w:rPr>
      </w:pPr>
      <w:hyperlink r:id="rId14" w:history="1">
        <w:r w:rsidR="007D625A" w:rsidRPr="00FF7D1A">
          <w:rPr>
            <w:rStyle w:val="Hyperlink"/>
            <w:rFonts w:eastAsia="Times New Roman" w:cstheme="minorHAnsi"/>
            <w:lang w:eastAsia="ko-KR"/>
          </w:rPr>
          <w:t>WSAB Best Interest Decisions Meeting Guidance</w:t>
        </w:r>
      </w:hyperlink>
    </w:p>
    <w:p w14:paraId="46B935CF" w14:textId="345A41C9" w:rsidR="007D625A" w:rsidRPr="00FF7D1A" w:rsidRDefault="001C3131" w:rsidP="00FF7D1A">
      <w:pPr>
        <w:rPr>
          <w:rFonts w:cstheme="minorHAnsi"/>
          <w:b/>
          <w:bCs/>
          <w:lang w:val="en-US"/>
        </w:rPr>
      </w:pPr>
      <w:hyperlink r:id="rId15" w:history="1">
        <w:r w:rsidR="007D625A" w:rsidRPr="00FF7D1A">
          <w:rPr>
            <w:rStyle w:val="Hyperlink"/>
            <w:rFonts w:eastAsia="Times New Roman" w:cstheme="minorHAnsi"/>
            <w:lang w:eastAsia="ko-KR"/>
          </w:rPr>
          <w:t xml:space="preserve">Mental capacity </w:t>
        </w:r>
        <w:r w:rsidR="002D3328" w:rsidRPr="00FF7D1A">
          <w:rPr>
            <w:rStyle w:val="Hyperlink"/>
            <w:rFonts w:eastAsia="Times New Roman" w:cstheme="minorHAnsi"/>
            <w:lang w:eastAsia="ko-KR"/>
          </w:rPr>
          <w:t>Guidance</w:t>
        </w:r>
        <w:r w:rsidR="007D625A" w:rsidRPr="00FF7D1A">
          <w:rPr>
            <w:rStyle w:val="Hyperlink"/>
            <w:rFonts w:eastAsia="Times New Roman" w:cstheme="minorHAnsi"/>
            <w:lang w:eastAsia="ko-KR"/>
          </w:rPr>
          <w:t xml:space="preserve"> for Staff</w:t>
        </w:r>
      </w:hyperlink>
    </w:p>
    <w:p w14:paraId="48EB0CDA" w14:textId="19E09507" w:rsidR="00566AB9" w:rsidRPr="0070519E" w:rsidRDefault="0070519E" w:rsidP="00566AB9">
      <w:pPr>
        <w:rPr>
          <w:rFonts w:cstheme="minorHAnsi"/>
          <w:b/>
          <w:bCs/>
          <w:lang w:val="en-US"/>
        </w:rPr>
      </w:pPr>
      <w:r w:rsidRPr="0070519E">
        <w:rPr>
          <w:rFonts w:cstheme="minorHAnsi"/>
          <w:b/>
          <w:bCs/>
          <w:lang w:val="en-US"/>
        </w:rPr>
        <w:t>Actions for Professionals and Practitioners</w:t>
      </w:r>
    </w:p>
    <w:p w14:paraId="638E58E0" w14:textId="77777777" w:rsidR="008D2E4F" w:rsidRDefault="0070519E" w:rsidP="00566AB9">
      <w:pPr>
        <w:spacing w:after="200" w:line="276" w:lineRule="auto"/>
        <w:rPr>
          <w:rFonts w:eastAsia="Times New Roman" w:cstheme="minorHAnsi"/>
          <w:lang w:val="en-US" w:eastAsia="ko-KR"/>
        </w:rPr>
      </w:pPr>
      <w:r>
        <w:rPr>
          <w:rFonts w:eastAsia="Times New Roman" w:cstheme="minorHAnsi"/>
          <w:lang w:val="en-US" w:eastAsia="ko-KR"/>
        </w:rPr>
        <w:t xml:space="preserve">Both the full SAR reports and the learning briefs identify learning for professionals and practitioners.  </w:t>
      </w:r>
    </w:p>
    <w:p w14:paraId="48E01C5D" w14:textId="42F246AE" w:rsidR="0070519E" w:rsidRDefault="0070519E" w:rsidP="00566AB9">
      <w:pPr>
        <w:spacing w:after="200" w:line="276" w:lineRule="auto"/>
        <w:rPr>
          <w:rFonts w:eastAsia="Times New Roman" w:cstheme="minorHAnsi"/>
          <w:lang w:val="en-US" w:eastAsia="ko-KR"/>
        </w:rPr>
      </w:pPr>
      <w:r>
        <w:rPr>
          <w:rFonts w:eastAsia="Times New Roman" w:cstheme="minorHAnsi"/>
          <w:lang w:val="en-US" w:eastAsia="ko-KR"/>
        </w:rPr>
        <w:t xml:space="preserve">In order that the learning can be taken forward you are asked </w:t>
      </w:r>
    </w:p>
    <w:p w14:paraId="13BB13E5" w14:textId="3AE973BD" w:rsidR="0070519E" w:rsidRPr="008D2E4F" w:rsidRDefault="0070519E" w:rsidP="0070519E">
      <w:pPr>
        <w:pStyle w:val="ListParagraph"/>
        <w:numPr>
          <w:ilvl w:val="0"/>
          <w:numId w:val="3"/>
        </w:numPr>
        <w:spacing w:after="200" w:line="276" w:lineRule="auto"/>
        <w:rPr>
          <w:rFonts w:eastAsia="Times New Roman" w:cstheme="minorHAnsi"/>
          <w:b/>
          <w:bCs/>
          <w:lang w:eastAsia="ko-KR"/>
        </w:rPr>
      </w:pPr>
      <w:r w:rsidRPr="008D2E4F">
        <w:rPr>
          <w:rFonts w:eastAsia="Times New Roman" w:cstheme="minorHAnsi"/>
          <w:b/>
          <w:bCs/>
          <w:lang w:eastAsia="ko-KR"/>
        </w:rPr>
        <w:t>Reflect on these cases within</w:t>
      </w:r>
      <w:r w:rsidR="008D2E4F" w:rsidRPr="008D2E4F">
        <w:rPr>
          <w:rFonts w:eastAsia="Times New Roman" w:cstheme="minorHAnsi"/>
          <w:b/>
          <w:bCs/>
          <w:lang w:eastAsia="ko-KR"/>
        </w:rPr>
        <w:t>, supervision, team</w:t>
      </w:r>
      <w:r w:rsidRPr="008D2E4F">
        <w:rPr>
          <w:rFonts w:eastAsia="Times New Roman" w:cstheme="minorHAnsi"/>
          <w:b/>
          <w:bCs/>
          <w:lang w:eastAsia="ko-KR"/>
        </w:rPr>
        <w:t xml:space="preserve"> meetings and reflective </w:t>
      </w:r>
      <w:r w:rsidR="00330AC3" w:rsidRPr="008D2E4F">
        <w:rPr>
          <w:rFonts w:eastAsia="Times New Roman" w:cstheme="minorHAnsi"/>
          <w:b/>
          <w:bCs/>
          <w:lang w:eastAsia="ko-KR"/>
        </w:rPr>
        <w:t>sessions.</w:t>
      </w:r>
      <w:r w:rsidRPr="008D2E4F">
        <w:rPr>
          <w:rFonts w:eastAsia="Times New Roman" w:cstheme="minorHAnsi"/>
          <w:b/>
          <w:bCs/>
          <w:lang w:eastAsia="ko-KR"/>
        </w:rPr>
        <w:t xml:space="preserve"> </w:t>
      </w:r>
    </w:p>
    <w:p w14:paraId="5E23816D" w14:textId="7B55D378" w:rsidR="00566AB9" w:rsidRPr="00330AC3" w:rsidRDefault="0070519E" w:rsidP="00330AC3">
      <w:pPr>
        <w:pStyle w:val="ListParagraph"/>
        <w:numPr>
          <w:ilvl w:val="0"/>
          <w:numId w:val="3"/>
        </w:numPr>
        <w:spacing w:after="200" w:line="276" w:lineRule="auto"/>
        <w:rPr>
          <w:rFonts w:eastAsia="Times New Roman" w:cstheme="minorHAnsi"/>
          <w:lang w:val="en-US" w:eastAsia="ko-KR"/>
        </w:rPr>
      </w:pPr>
      <w:r w:rsidRPr="00330AC3">
        <w:rPr>
          <w:rFonts w:eastAsia="Times New Roman" w:cstheme="minorHAnsi"/>
          <w:b/>
          <w:bCs/>
          <w:lang w:eastAsia="ko-KR"/>
        </w:rPr>
        <w:t>Use th</w:t>
      </w:r>
      <w:r w:rsidR="008D2E4F" w:rsidRPr="00330AC3">
        <w:rPr>
          <w:rFonts w:eastAsia="Times New Roman" w:cstheme="minorHAnsi"/>
          <w:b/>
          <w:bCs/>
          <w:lang w:eastAsia="ko-KR"/>
        </w:rPr>
        <w:t>e information in Learning</w:t>
      </w:r>
      <w:r w:rsidRPr="00330AC3">
        <w:rPr>
          <w:rFonts w:eastAsia="Times New Roman" w:cstheme="minorHAnsi"/>
          <w:b/>
          <w:bCs/>
          <w:lang w:eastAsia="ko-KR"/>
        </w:rPr>
        <w:t xml:space="preserve"> Briefings</w:t>
      </w:r>
      <w:r w:rsidR="00BF4D76" w:rsidRPr="00330AC3">
        <w:rPr>
          <w:rFonts w:eastAsia="Times New Roman" w:cstheme="minorHAnsi"/>
          <w:b/>
          <w:bCs/>
          <w:lang w:eastAsia="ko-KR"/>
        </w:rPr>
        <w:t xml:space="preserve"> and the resources we have produced</w:t>
      </w:r>
      <w:r w:rsidRPr="00330AC3">
        <w:rPr>
          <w:rFonts w:eastAsia="Times New Roman" w:cstheme="minorHAnsi"/>
          <w:b/>
          <w:bCs/>
          <w:lang w:eastAsia="ko-KR"/>
        </w:rPr>
        <w:t xml:space="preserve"> in training where </w:t>
      </w:r>
      <w:r w:rsidR="00330AC3" w:rsidRPr="00330AC3">
        <w:rPr>
          <w:rFonts w:eastAsia="Times New Roman" w:cstheme="minorHAnsi"/>
          <w:b/>
          <w:bCs/>
          <w:lang w:eastAsia="ko-KR"/>
        </w:rPr>
        <w:t>appropriate</w:t>
      </w:r>
    </w:p>
    <w:p w14:paraId="0204FC49" w14:textId="77777777" w:rsidR="00566AB9" w:rsidRDefault="00566AB9"/>
    <w:sectPr w:rsidR="00566AB9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3689" w14:textId="77777777" w:rsidR="00396CB0" w:rsidRDefault="00396CB0" w:rsidP="008D2E4F">
      <w:pPr>
        <w:spacing w:after="0" w:line="240" w:lineRule="auto"/>
      </w:pPr>
      <w:r>
        <w:separator/>
      </w:r>
    </w:p>
  </w:endnote>
  <w:endnote w:type="continuationSeparator" w:id="0">
    <w:p w14:paraId="0707E7EA" w14:textId="77777777" w:rsidR="00396CB0" w:rsidRDefault="00396CB0" w:rsidP="008D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3AB3" w14:textId="3D5948EB" w:rsidR="00330AC3" w:rsidRDefault="00330AC3">
    <w:pPr>
      <w:pStyle w:val="Footer"/>
    </w:pPr>
    <w:r>
      <w:t>Version 2 Updated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CF5B" w14:textId="77777777" w:rsidR="00396CB0" w:rsidRDefault="00396CB0" w:rsidP="008D2E4F">
      <w:pPr>
        <w:spacing w:after="0" w:line="240" w:lineRule="auto"/>
      </w:pPr>
      <w:r>
        <w:separator/>
      </w:r>
    </w:p>
  </w:footnote>
  <w:footnote w:type="continuationSeparator" w:id="0">
    <w:p w14:paraId="47D793E1" w14:textId="77777777" w:rsidR="00396CB0" w:rsidRDefault="00396CB0" w:rsidP="008D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5EA5" w14:textId="3D06A797" w:rsidR="008D2E4F" w:rsidRDefault="00330AC3" w:rsidP="00330AC3">
    <w:pPr>
      <w:pStyle w:val="Header"/>
      <w:tabs>
        <w:tab w:val="left" w:pos="2925"/>
      </w:tabs>
    </w:pPr>
    <w:r>
      <w:tab/>
    </w:r>
    <w:r>
      <w:tab/>
    </w:r>
    <w:r w:rsidR="008D2E4F">
      <w:rPr>
        <w:noProof/>
      </w:rPr>
      <w:drawing>
        <wp:inline distT="0" distB="0" distL="0" distR="0" wp14:anchorId="248C825B" wp14:editId="37C87848">
          <wp:extent cx="1054735" cy="1133475"/>
          <wp:effectExtent l="0" t="0" r="0" b="9525"/>
          <wp:docPr id="4" name="Picture 3" descr="Logo, Worcestershire Safeguarding Adults Board&#10;&#10;Description automatically generated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, Worcestershire Safeguarding Adults Board&#10;&#10;Description automatically generated&#10;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6FF"/>
    <w:multiLevelType w:val="hybridMultilevel"/>
    <w:tmpl w:val="62BC1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CE2"/>
    <w:multiLevelType w:val="hybridMultilevel"/>
    <w:tmpl w:val="E3C8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64A4"/>
    <w:multiLevelType w:val="hybridMultilevel"/>
    <w:tmpl w:val="60CCD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3E61"/>
    <w:multiLevelType w:val="hybridMultilevel"/>
    <w:tmpl w:val="7DBE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5294"/>
    <w:multiLevelType w:val="hybridMultilevel"/>
    <w:tmpl w:val="6334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00714"/>
    <w:multiLevelType w:val="hybridMultilevel"/>
    <w:tmpl w:val="100C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0832A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05A58"/>
    <w:multiLevelType w:val="hybridMultilevel"/>
    <w:tmpl w:val="318A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162390">
    <w:abstractNumId w:val="4"/>
  </w:num>
  <w:num w:numId="2" w16cid:durableId="128016380">
    <w:abstractNumId w:val="2"/>
  </w:num>
  <w:num w:numId="3" w16cid:durableId="1399980084">
    <w:abstractNumId w:val="5"/>
  </w:num>
  <w:num w:numId="4" w16cid:durableId="1589190222">
    <w:abstractNumId w:val="6"/>
  </w:num>
  <w:num w:numId="5" w16cid:durableId="1124343848">
    <w:abstractNumId w:val="1"/>
  </w:num>
  <w:num w:numId="6" w16cid:durableId="1725450341">
    <w:abstractNumId w:val="0"/>
  </w:num>
  <w:num w:numId="7" w16cid:durableId="1989438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BD"/>
    <w:rsid w:val="001601C7"/>
    <w:rsid w:val="001C3131"/>
    <w:rsid w:val="00265BB6"/>
    <w:rsid w:val="002B2A35"/>
    <w:rsid w:val="002D3328"/>
    <w:rsid w:val="00330AC3"/>
    <w:rsid w:val="00340910"/>
    <w:rsid w:val="00355D70"/>
    <w:rsid w:val="00396CB0"/>
    <w:rsid w:val="004022F5"/>
    <w:rsid w:val="004F0E30"/>
    <w:rsid w:val="00544C25"/>
    <w:rsid w:val="00566AB9"/>
    <w:rsid w:val="005B16B3"/>
    <w:rsid w:val="005F5F68"/>
    <w:rsid w:val="006E516E"/>
    <w:rsid w:val="0070519E"/>
    <w:rsid w:val="007D625A"/>
    <w:rsid w:val="0083301B"/>
    <w:rsid w:val="00895F1E"/>
    <w:rsid w:val="008A3A8B"/>
    <w:rsid w:val="008D2E4F"/>
    <w:rsid w:val="00A51638"/>
    <w:rsid w:val="00AB66BA"/>
    <w:rsid w:val="00B14DBD"/>
    <w:rsid w:val="00BF4D76"/>
    <w:rsid w:val="00CC1CAF"/>
    <w:rsid w:val="00D464BD"/>
    <w:rsid w:val="00E5651F"/>
    <w:rsid w:val="00E85B7A"/>
    <w:rsid w:val="00EB3A73"/>
    <w:rsid w:val="00F0040F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CF51"/>
  <w15:chartTrackingRefBased/>
  <w15:docId w15:val="{CD171F0C-9AB3-4D0E-9B9D-98D1132E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A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6AB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5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1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4F"/>
  </w:style>
  <w:style w:type="paragraph" w:styleId="Footer">
    <w:name w:val="footer"/>
    <w:basedOn w:val="Normal"/>
    <w:link w:val="FooterChar"/>
    <w:uiPriority w:val="99"/>
    <w:unhideWhenUsed/>
    <w:rsid w:val="008D2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4F"/>
  </w:style>
  <w:style w:type="character" w:customStyle="1" w:styleId="Heading1Char">
    <w:name w:val="Heading 1 Char"/>
    <w:basedOn w:val="DefaultParagraphFont"/>
    <w:link w:val="Heading1"/>
    <w:uiPriority w:val="9"/>
    <w:rsid w:val="00BF4D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F7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guardingworcestershire.org.uk/wp-content/uploads/2022/11/Lucy-Learning-Report-PDF-for-publication.pdf" TargetMode="External"/><Relationship Id="rId13" Type="http://schemas.openxmlformats.org/officeDocument/2006/relationships/hyperlink" Target="https://www.safeguardingworcestershire.org.uk/documents/competency-framework-to-support-organisations-to-map-training-content-to-staff-needs-for-mental-capacity-act-and-deprivation-of-liberty-safeguarding-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feguardingworcestershire.org.uk/documents/wsab-learning-briefing-alison-v1-final-publication-jan-2023/" TargetMode="External"/><Relationship Id="rId12" Type="http://schemas.openxmlformats.org/officeDocument/2006/relationships/hyperlink" Target="https://www.safeguardingworcestershire.org.uk/learning-development/training-a/network-group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feguardingworcestershire.org.uk/wp-content/uploads/2019/05/Learning_Briefing_for_professionals___David_v7_for_PUBLICATIO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feguardingworcestershire.org.uk/wp-content/uploads/2022/05/Mental-Capacity-Act-policy-V-3-Final-.pdf" TargetMode="External"/><Relationship Id="rId10" Type="http://schemas.openxmlformats.org/officeDocument/2006/relationships/hyperlink" Target="https://www.safeguardingworcestershire.org.uk/wp-content/uploads/2020/06/JANE-Learning-Brief-for-publication-19.06.202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feguardingworcestershire.org.uk/wp-content/uploads/2021/03/Mary-Learning-Brief-PDF-for-Publication.pdf" TargetMode="External"/><Relationship Id="rId14" Type="http://schemas.openxmlformats.org/officeDocument/2006/relationships/hyperlink" Target="https://www.safeguardingworcestershire.org.uk/wp-content/uploads/2019/05/Guidance-to-support-professionals-Best-Interest-Decision-Meeting-for-complex-cas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Brickley, Bridget</dc:creator>
  <cp:keywords/>
  <dc:description/>
  <cp:lastModifiedBy>Brickley, Bridget</cp:lastModifiedBy>
  <cp:revision>24</cp:revision>
  <dcterms:created xsi:type="dcterms:W3CDTF">2023-02-08T11:17:00Z</dcterms:created>
  <dcterms:modified xsi:type="dcterms:W3CDTF">2023-08-10T14:40:00Z</dcterms:modified>
</cp:coreProperties>
</file>